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61" w:rsidRPr="00BF2CD8" w:rsidRDefault="00295061" w:rsidP="00BF2CD8">
      <w:pPr>
        <w:spacing w:line="360" w:lineRule="auto"/>
        <w:jc w:val="both"/>
        <w:rPr>
          <w:sz w:val="24"/>
          <w:szCs w:val="24"/>
        </w:rPr>
      </w:pPr>
    </w:p>
    <w:p w:rsidR="00976CAB" w:rsidRPr="00BF2CD8" w:rsidRDefault="00976CAB" w:rsidP="00BF2CD8">
      <w:pPr>
        <w:spacing w:line="360" w:lineRule="auto"/>
        <w:jc w:val="right"/>
        <w:rPr>
          <w:sz w:val="24"/>
          <w:szCs w:val="24"/>
        </w:rPr>
      </w:pPr>
      <w:r w:rsidRPr="00BF2CD8">
        <w:rPr>
          <w:sz w:val="24"/>
          <w:szCs w:val="24"/>
        </w:rPr>
        <w:t>Folha 1/</w:t>
      </w:r>
      <w:r w:rsidR="00BF2CD8">
        <w:rPr>
          <w:sz w:val="24"/>
          <w:szCs w:val="24"/>
        </w:rPr>
        <w:t>7</w:t>
      </w:r>
    </w:p>
    <w:p w:rsidR="00976CAB" w:rsidRPr="00BF2CD8" w:rsidRDefault="00976CAB" w:rsidP="00BF2CD8">
      <w:pPr>
        <w:spacing w:line="360" w:lineRule="auto"/>
        <w:jc w:val="both"/>
        <w:rPr>
          <w:sz w:val="24"/>
          <w:szCs w:val="24"/>
        </w:rPr>
      </w:pPr>
    </w:p>
    <w:p w:rsidR="00976CAB" w:rsidRPr="00BF2CD8" w:rsidRDefault="00976CAB" w:rsidP="00BF2CD8">
      <w:pPr>
        <w:spacing w:line="360" w:lineRule="auto"/>
        <w:jc w:val="both"/>
        <w:rPr>
          <w:sz w:val="24"/>
          <w:szCs w:val="24"/>
        </w:rPr>
      </w:pPr>
    </w:p>
    <w:p w:rsidR="00976CAB" w:rsidRPr="00BF2CD8" w:rsidRDefault="00976CAB" w:rsidP="00BF2CD8">
      <w:pPr>
        <w:spacing w:line="360" w:lineRule="auto"/>
        <w:jc w:val="both"/>
        <w:rPr>
          <w:b/>
          <w:sz w:val="24"/>
          <w:szCs w:val="24"/>
        </w:rPr>
      </w:pPr>
      <w:r w:rsidRPr="00BF2CD8">
        <w:rPr>
          <w:b/>
          <w:sz w:val="24"/>
          <w:szCs w:val="24"/>
        </w:rPr>
        <w:t>ANEXO I da Deliberação CBH-ALPA nº. 117 de 19 de abril de 2013.</w:t>
      </w:r>
    </w:p>
    <w:p w:rsidR="00976CAB" w:rsidRPr="00BF2CD8" w:rsidRDefault="00976CAB" w:rsidP="00BF2CD8">
      <w:pPr>
        <w:spacing w:line="360" w:lineRule="auto"/>
        <w:jc w:val="both"/>
        <w:rPr>
          <w:sz w:val="24"/>
          <w:szCs w:val="24"/>
        </w:rPr>
      </w:pPr>
    </w:p>
    <w:p w:rsidR="00976CAB" w:rsidRPr="00BF2CD8" w:rsidRDefault="00976CAB" w:rsidP="00BF2CD8">
      <w:pPr>
        <w:spacing w:line="360" w:lineRule="auto"/>
        <w:jc w:val="both"/>
        <w:rPr>
          <w:b/>
          <w:sz w:val="24"/>
          <w:szCs w:val="24"/>
        </w:rPr>
      </w:pPr>
      <w:r w:rsidRPr="00BF2CD8">
        <w:rPr>
          <w:b/>
          <w:sz w:val="24"/>
          <w:szCs w:val="24"/>
        </w:rPr>
        <w:t>Atendimento ao Oficio DRH 14/2012</w:t>
      </w:r>
    </w:p>
    <w:p w:rsidR="00976CAB" w:rsidRPr="00BF2CD8" w:rsidRDefault="00976CAB" w:rsidP="00BF2CD8">
      <w:pPr>
        <w:spacing w:line="360" w:lineRule="auto"/>
        <w:jc w:val="both"/>
        <w:rPr>
          <w:sz w:val="24"/>
          <w:szCs w:val="24"/>
        </w:rPr>
      </w:pPr>
    </w:p>
    <w:p w:rsidR="00467CB2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2CD8">
        <w:rPr>
          <w:b/>
          <w:sz w:val="24"/>
          <w:szCs w:val="24"/>
        </w:rPr>
        <w:t>Artigo 1º - inciso V</w:t>
      </w:r>
      <w:r w:rsidR="00467CB2" w:rsidRPr="00BF2CD8">
        <w:rPr>
          <w:sz w:val="24"/>
          <w:szCs w:val="24"/>
        </w:rPr>
        <w:t xml:space="preserve"> (C</w:t>
      </w:r>
      <w:r w:rsidRPr="00BF2CD8">
        <w:rPr>
          <w:sz w:val="24"/>
          <w:szCs w:val="24"/>
        </w:rPr>
        <w:t>omprovação da qualificação e composição da Plenária do CBH que aprovou a proposta de cobrança,</w:t>
      </w:r>
      <w:r w:rsidR="00467CB2" w:rsidRPr="00BF2CD8">
        <w:rPr>
          <w:sz w:val="24"/>
          <w:szCs w:val="24"/>
        </w:rPr>
        <w:t xml:space="preserve"> </w:t>
      </w:r>
      <w:r w:rsidRPr="00BF2CD8">
        <w:rPr>
          <w:sz w:val="24"/>
          <w:szCs w:val="24"/>
        </w:rPr>
        <w:t>em atendimento ao parágrafo 2º do artigo 6º da Lei 12.183, de 29 de dezembro de 2005</w:t>
      </w:r>
      <w:r w:rsidR="00467CB2" w:rsidRPr="00BF2CD8">
        <w:rPr>
          <w:sz w:val="24"/>
          <w:szCs w:val="24"/>
        </w:rPr>
        <w:t>)</w:t>
      </w:r>
      <w:r w:rsidR="003B482D" w:rsidRPr="00BF2CD8">
        <w:rPr>
          <w:sz w:val="24"/>
          <w:szCs w:val="24"/>
        </w:rPr>
        <w:t>.</w:t>
      </w: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 xml:space="preserve"> - § 2º - As decisões do Conselho Estadual de Recursos Hídricos e dos Comitês de Bacia sobre a fixação dos limites, condicionantes e valores da cobrança pela utilização dos recursos hídricos serão tomadas por maioria simples, mediante votos dos representantes da Sociedade Civil, dos Municípios e do Estado, os quais terão os seguintes pesos:</w:t>
      </w: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1 - 40% (quarenta por cento), os votos dos representantes de entidades da sociedade civil, fixado em 70% (setenta por cento), no contexto destas, o peso dos votos das entidades representativas de usuários pagantes de recursos hídricos;</w:t>
      </w: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2 - 30% (trinta por cento), os votos dos representantes dos Municípios;</w:t>
      </w: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3 - 30</w:t>
      </w:r>
      <w:proofErr w:type="gramStart"/>
      <w:r w:rsidRPr="00BF2CD8">
        <w:rPr>
          <w:sz w:val="24"/>
          <w:szCs w:val="24"/>
        </w:rPr>
        <w:t>% (trinta por cento), os votos dos representantes do Estado)</w:t>
      </w:r>
      <w:proofErr w:type="gramEnd"/>
      <w:r w:rsidRPr="00BF2CD8">
        <w:rPr>
          <w:sz w:val="24"/>
          <w:szCs w:val="24"/>
        </w:rPr>
        <w:t>.</w:t>
      </w:r>
    </w:p>
    <w:p w:rsidR="00976CAB" w:rsidRPr="00BF2CD8" w:rsidRDefault="00976CAB" w:rsidP="00BF2CD8">
      <w:pPr>
        <w:spacing w:line="360" w:lineRule="auto"/>
        <w:jc w:val="both"/>
        <w:rPr>
          <w:sz w:val="24"/>
          <w:szCs w:val="24"/>
        </w:rPr>
      </w:pPr>
    </w:p>
    <w:p w:rsidR="00976CAB" w:rsidRPr="00BF2CD8" w:rsidRDefault="00976CAB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b/>
          <w:color w:val="FF0000"/>
          <w:sz w:val="24"/>
          <w:szCs w:val="24"/>
        </w:rPr>
        <w:t>Resposta:</w:t>
      </w:r>
      <w:r w:rsidRPr="00BF2CD8">
        <w:rPr>
          <w:sz w:val="24"/>
          <w:szCs w:val="24"/>
        </w:rPr>
        <w:t xml:space="preserve"> A comprovação da qualificação e composição da Plenária do Comitê da Bacia Hidrográfica do </w:t>
      </w:r>
      <w:proofErr w:type="gramStart"/>
      <w:r w:rsidRPr="00BF2CD8">
        <w:rPr>
          <w:sz w:val="24"/>
          <w:szCs w:val="24"/>
        </w:rPr>
        <w:t>Alto Paranapanema</w:t>
      </w:r>
      <w:proofErr w:type="gramEnd"/>
      <w:r w:rsidRPr="00BF2CD8">
        <w:rPr>
          <w:sz w:val="24"/>
          <w:szCs w:val="24"/>
        </w:rPr>
        <w:t xml:space="preserve">, que contou com a participação dos membros representantes dos segmentos: Estado (DAEE, CETESB, Sabesp, DER, Secretaria de Estado da Saúde e Secretaria de Estado do Meio Ambiente), Sociedade Civil: (ADS, ASPIPP, Sociedade </w:t>
      </w:r>
      <w:proofErr w:type="spellStart"/>
      <w:r w:rsidRPr="00BF2CD8">
        <w:rPr>
          <w:sz w:val="24"/>
          <w:szCs w:val="24"/>
        </w:rPr>
        <w:t>Hideal</w:t>
      </w:r>
      <w:proofErr w:type="spellEnd"/>
      <w:r w:rsidRPr="00BF2CD8">
        <w:rPr>
          <w:sz w:val="24"/>
          <w:szCs w:val="24"/>
        </w:rPr>
        <w:t xml:space="preserve">, SINTAEMA, Sindicato dos Engenheiros do Estado de São Paulo, Sindicato Rural de Paranapanema, Sindicato Rural de Piraju, Cooperativa Agrícola de Capão Bonito, </w:t>
      </w:r>
      <w:proofErr w:type="spellStart"/>
      <w:r w:rsidRPr="00BF2CD8">
        <w:rPr>
          <w:sz w:val="24"/>
          <w:szCs w:val="24"/>
        </w:rPr>
        <w:t>Assoc</w:t>
      </w:r>
      <w:proofErr w:type="spellEnd"/>
      <w:r w:rsidRPr="00BF2CD8">
        <w:rPr>
          <w:sz w:val="24"/>
          <w:szCs w:val="24"/>
        </w:rPr>
        <w:t xml:space="preserve">. Brasil. E. G. Energia Elétrica, Associação Regional Eng°. do </w:t>
      </w:r>
      <w:proofErr w:type="spellStart"/>
      <w:r w:rsidRPr="00BF2CD8">
        <w:rPr>
          <w:sz w:val="24"/>
          <w:szCs w:val="24"/>
        </w:rPr>
        <w:t>Sud</w:t>
      </w:r>
      <w:proofErr w:type="spellEnd"/>
      <w:r w:rsidRPr="00BF2CD8">
        <w:rPr>
          <w:sz w:val="24"/>
          <w:szCs w:val="24"/>
        </w:rPr>
        <w:t xml:space="preserve">. Paulista, Associação Regional Eng°. </w:t>
      </w:r>
      <w:proofErr w:type="spellStart"/>
      <w:r w:rsidRPr="00BF2CD8">
        <w:rPr>
          <w:sz w:val="24"/>
          <w:szCs w:val="24"/>
        </w:rPr>
        <w:t>Arq</w:t>
      </w:r>
      <w:proofErr w:type="spellEnd"/>
      <w:r w:rsidRPr="00BF2CD8">
        <w:rPr>
          <w:sz w:val="24"/>
          <w:szCs w:val="24"/>
        </w:rPr>
        <w:t>. Agr. Avaré,</w:t>
      </w:r>
      <w:r w:rsidR="003B482D" w:rsidRPr="00BF2CD8">
        <w:rPr>
          <w:sz w:val="24"/>
          <w:szCs w:val="24"/>
        </w:rPr>
        <w:t xml:space="preserve">  </w:t>
      </w:r>
      <w:r w:rsidRPr="00BF2CD8">
        <w:rPr>
          <w:sz w:val="24"/>
          <w:szCs w:val="24"/>
        </w:rPr>
        <w:t xml:space="preserve">Ordem dos Advogados do Brasil – Subsecção de Itapetininga e FIESP), municípios: (P. M. Piraju, </w:t>
      </w:r>
      <w:r w:rsidR="003B482D" w:rsidRPr="00BF2CD8">
        <w:rPr>
          <w:sz w:val="24"/>
          <w:szCs w:val="24"/>
        </w:rPr>
        <w:t xml:space="preserve"> </w:t>
      </w:r>
      <w:r w:rsidRPr="00BF2CD8">
        <w:rPr>
          <w:sz w:val="24"/>
          <w:szCs w:val="24"/>
        </w:rPr>
        <w:t xml:space="preserve">P. M. Bernardino de Campos, P. M. </w:t>
      </w:r>
      <w:proofErr w:type="spellStart"/>
      <w:r w:rsidRPr="00BF2CD8">
        <w:rPr>
          <w:sz w:val="24"/>
          <w:szCs w:val="24"/>
        </w:rPr>
        <w:t>Itaporanga</w:t>
      </w:r>
      <w:proofErr w:type="spellEnd"/>
      <w:r w:rsidRPr="00BF2CD8">
        <w:rPr>
          <w:sz w:val="24"/>
          <w:szCs w:val="24"/>
        </w:rPr>
        <w:t xml:space="preserve">, P. M. </w:t>
      </w:r>
      <w:proofErr w:type="spellStart"/>
      <w:r w:rsidRPr="00BF2CD8">
        <w:rPr>
          <w:sz w:val="24"/>
          <w:szCs w:val="24"/>
        </w:rPr>
        <w:t>Itaí</w:t>
      </w:r>
      <w:proofErr w:type="spellEnd"/>
      <w:r w:rsidRPr="00BF2CD8">
        <w:rPr>
          <w:sz w:val="24"/>
          <w:szCs w:val="24"/>
        </w:rPr>
        <w:t xml:space="preserve">, P. M. </w:t>
      </w:r>
      <w:proofErr w:type="spellStart"/>
      <w:r w:rsidRPr="00BF2CD8">
        <w:rPr>
          <w:sz w:val="24"/>
          <w:szCs w:val="24"/>
        </w:rPr>
        <w:t>Taquarituba</w:t>
      </w:r>
      <w:proofErr w:type="spellEnd"/>
      <w:r w:rsidRPr="00BF2CD8">
        <w:rPr>
          <w:sz w:val="24"/>
          <w:szCs w:val="24"/>
        </w:rPr>
        <w:t xml:space="preserve">, P. M. Manduri, P. M. Itararé). Que comprovam </w:t>
      </w:r>
      <w:r w:rsidR="00512E00" w:rsidRPr="00BF2CD8">
        <w:rPr>
          <w:sz w:val="24"/>
          <w:szCs w:val="24"/>
        </w:rPr>
        <w:t xml:space="preserve">assim </w:t>
      </w:r>
      <w:r w:rsidRPr="00BF2CD8">
        <w:rPr>
          <w:sz w:val="24"/>
          <w:szCs w:val="24"/>
        </w:rPr>
        <w:t xml:space="preserve">o quorum qualificado para aprovação da </w:t>
      </w:r>
      <w:r w:rsidR="00512E00" w:rsidRPr="00BF2CD8">
        <w:rPr>
          <w:sz w:val="24"/>
          <w:szCs w:val="24"/>
        </w:rPr>
        <w:t>D</w:t>
      </w:r>
      <w:r w:rsidRPr="00BF2CD8">
        <w:rPr>
          <w:sz w:val="24"/>
          <w:szCs w:val="24"/>
        </w:rPr>
        <w:t xml:space="preserve">eliberação </w:t>
      </w:r>
      <w:r w:rsidR="00512E00" w:rsidRPr="00BF2CD8">
        <w:rPr>
          <w:sz w:val="24"/>
          <w:szCs w:val="24"/>
        </w:rPr>
        <w:t xml:space="preserve">CBH-ALPA n ° 111 de 31 de outubro de 2012, em </w:t>
      </w:r>
      <w:r w:rsidRPr="00BF2CD8">
        <w:rPr>
          <w:sz w:val="24"/>
          <w:szCs w:val="24"/>
        </w:rPr>
        <w:t>que aprova a implantação da</w:t>
      </w:r>
      <w:r w:rsidR="00467CB2" w:rsidRPr="00BF2CD8">
        <w:rPr>
          <w:sz w:val="24"/>
          <w:szCs w:val="24"/>
        </w:rPr>
        <w:t xml:space="preserve"> </w:t>
      </w:r>
      <w:r w:rsidR="00512E00" w:rsidRPr="00BF2CD8">
        <w:rPr>
          <w:sz w:val="24"/>
          <w:szCs w:val="24"/>
        </w:rPr>
        <w:t>Cobrança pelo uso da Água</w:t>
      </w:r>
      <w:r w:rsidRPr="00BF2CD8">
        <w:rPr>
          <w:sz w:val="24"/>
          <w:szCs w:val="24"/>
        </w:rPr>
        <w:t xml:space="preserve">, </w:t>
      </w:r>
      <w:r w:rsidR="00512E00" w:rsidRPr="00BF2CD8">
        <w:rPr>
          <w:sz w:val="24"/>
          <w:szCs w:val="24"/>
        </w:rPr>
        <w:t xml:space="preserve">reunião esta </w:t>
      </w:r>
      <w:r w:rsidRPr="00BF2CD8">
        <w:rPr>
          <w:sz w:val="24"/>
          <w:szCs w:val="24"/>
        </w:rPr>
        <w:t xml:space="preserve">que aconteceu na </w:t>
      </w:r>
      <w:r w:rsidR="00CE3D57" w:rsidRPr="00BF2CD8">
        <w:rPr>
          <w:sz w:val="24"/>
          <w:szCs w:val="24"/>
        </w:rPr>
        <w:t xml:space="preserve">cidade de </w:t>
      </w:r>
      <w:proofErr w:type="spellStart"/>
      <w:r w:rsidR="00CE3D57" w:rsidRPr="00BF2CD8">
        <w:rPr>
          <w:sz w:val="24"/>
          <w:szCs w:val="24"/>
        </w:rPr>
        <w:t>Taquarituba</w:t>
      </w:r>
      <w:proofErr w:type="spellEnd"/>
      <w:r w:rsidR="00CE3D57" w:rsidRPr="00BF2CD8">
        <w:rPr>
          <w:sz w:val="24"/>
          <w:szCs w:val="24"/>
        </w:rPr>
        <w:t>/SP. Se</w:t>
      </w:r>
      <w:r w:rsidRPr="00BF2CD8">
        <w:rPr>
          <w:sz w:val="24"/>
          <w:szCs w:val="24"/>
        </w:rPr>
        <w:t>gue em anexo</w:t>
      </w:r>
      <w:r w:rsidR="00512E00" w:rsidRPr="00BF2CD8">
        <w:rPr>
          <w:sz w:val="24"/>
          <w:szCs w:val="24"/>
        </w:rPr>
        <w:t xml:space="preserve"> a lista de presença</w:t>
      </w:r>
      <w:r w:rsidRPr="00BF2CD8">
        <w:rPr>
          <w:sz w:val="24"/>
          <w:szCs w:val="24"/>
        </w:rPr>
        <w:t>.</w:t>
      </w:r>
      <w:r w:rsidR="00A1787E" w:rsidRPr="00BF2CD8">
        <w:rPr>
          <w:sz w:val="24"/>
          <w:szCs w:val="24"/>
        </w:rPr>
        <w:t xml:space="preserve"> (Anexo I)</w:t>
      </w:r>
    </w:p>
    <w:p w:rsidR="00976CAB" w:rsidRPr="00BF2CD8" w:rsidRDefault="00976CAB" w:rsidP="00BF2CD8">
      <w:pPr>
        <w:spacing w:line="360" w:lineRule="auto"/>
        <w:jc w:val="both"/>
        <w:rPr>
          <w:sz w:val="24"/>
          <w:szCs w:val="24"/>
        </w:rPr>
      </w:pPr>
    </w:p>
    <w:p w:rsidR="003B482D" w:rsidRDefault="003B482D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Default="00BF2CD8" w:rsidP="00BF2CD8">
      <w:pPr>
        <w:spacing w:line="360" w:lineRule="auto"/>
        <w:jc w:val="right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right"/>
        <w:rPr>
          <w:sz w:val="24"/>
          <w:szCs w:val="24"/>
        </w:rPr>
      </w:pPr>
      <w:r w:rsidRPr="00BF2CD8">
        <w:rPr>
          <w:sz w:val="24"/>
          <w:szCs w:val="24"/>
        </w:rPr>
        <w:t xml:space="preserve">Folha </w:t>
      </w:r>
      <w:r>
        <w:rPr>
          <w:sz w:val="24"/>
          <w:szCs w:val="24"/>
        </w:rPr>
        <w:t>2</w:t>
      </w:r>
      <w:r w:rsidRPr="00BF2CD8">
        <w:rPr>
          <w:sz w:val="24"/>
          <w:szCs w:val="24"/>
        </w:rPr>
        <w:t>/</w:t>
      </w:r>
      <w:r>
        <w:rPr>
          <w:sz w:val="24"/>
          <w:szCs w:val="24"/>
        </w:rPr>
        <w:t>7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2CD8">
        <w:rPr>
          <w:b/>
          <w:sz w:val="24"/>
          <w:szCs w:val="24"/>
        </w:rPr>
        <w:t xml:space="preserve">Artigo 1º - inciso VII </w:t>
      </w:r>
      <w:r w:rsidRPr="00BF2CD8">
        <w:rPr>
          <w:sz w:val="24"/>
          <w:szCs w:val="24"/>
        </w:rPr>
        <w:t>(definição do percentual das ações do Plano de Bacia que serão financiadas com recursos financeiros advindos da cobrança pelo uso dos recursos hídricos de domínio do Estado de São Paulo).</w:t>
      </w:r>
    </w:p>
    <w:p w:rsidR="0018430C" w:rsidRPr="00BF2CD8" w:rsidRDefault="0018430C" w:rsidP="00BF2CD8">
      <w:pPr>
        <w:spacing w:line="360" w:lineRule="auto"/>
        <w:jc w:val="both"/>
        <w:rPr>
          <w:sz w:val="24"/>
          <w:szCs w:val="24"/>
        </w:rPr>
      </w:pPr>
    </w:p>
    <w:p w:rsidR="00976CAB" w:rsidRPr="00BF2CD8" w:rsidRDefault="00976CAB" w:rsidP="00BF2CD8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BF2CD8">
        <w:rPr>
          <w:b/>
          <w:color w:val="FF0000"/>
          <w:sz w:val="24"/>
          <w:szCs w:val="24"/>
        </w:rPr>
        <w:t xml:space="preserve">Resposta: </w:t>
      </w:r>
      <w:r w:rsidRPr="00BF2CD8">
        <w:rPr>
          <w:color w:val="000000" w:themeColor="text1"/>
          <w:sz w:val="24"/>
          <w:szCs w:val="24"/>
        </w:rPr>
        <w:t>100% dos recursos advindos da cobrança pela Cobrança pelo Uso da Água</w:t>
      </w:r>
      <w:proofErr w:type="gramStart"/>
      <w:r w:rsidRPr="00BF2CD8">
        <w:rPr>
          <w:color w:val="000000" w:themeColor="text1"/>
          <w:sz w:val="24"/>
          <w:szCs w:val="24"/>
        </w:rPr>
        <w:t>, serão</w:t>
      </w:r>
      <w:proofErr w:type="gramEnd"/>
      <w:r w:rsidRPr="00BF2CD8">
        <w:rPr>
          <w:color w:val="000000" w:themeColor="text1"/>
          <w:sz w:val="24"/>
          <w:szCs w:val="24"/>
        </w:rPr>
        <w:t xml:space="preserve"> contemplados nas ações previstas no Plano de Bacias do CBH-ALPA. Obviamente que nem todo montante arrecadado será suficiente para financiar as intervenções e projetos necessários na Bacia. Outras fontes de recursos financeiros, como o FEHIDRO, Governo do Estado de São Paulo, Governo Federal e empresas do setor privado complementarão a fonte dos recursos financeiros.</w:t>
      </w:r>
    </w:p>
    <w:p w:rsidR="003B482D" w:rsidRPr="00BF2CD8" w:rsidRDefault="003B482D" w:rsidP="00BF2CD8">
      <w:pPr>
        <w:spacing w:line="360" w:lineRule="auto"/>
        <w:jc w:val="both"/>
        <w:rPr>
          <w:b/>
          <w:sz w:val="24"/>
          <w:szCs w:val="24"/>
        </w:rPr>
      </w:pP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2CD8">
        <w:rPr>
          <w:b/>
          <w:sz w:val="24"/>
          <w:szCs w:val="24"/>
        </w:rPr>
        <w:t>Artigo 1º - inciso X</w:t>
      </w:r>
      <w:r w:rsidRPr="00BF2CD8">
        <w:rPr>
          <w:sz w:val="24"/>
          <w:szCs w:val="24"/>
        </w:rPr>
        <w:t xml:space="preserve"> (A avaliação dos impactos da cobrança sobre o preço econômico da água para os usuários urbanos, prevendo-se o valor transferido para os consumidores residenciais e para as indústrias</w:t>
      </w:r>
      <w:proofErr w:type="gramStart"/>
      <w:r w:rsidRPr="00BF2CD8">
        <w:rPr>
          <w:sz w:val="24"/>
          <w:szCs w:val="24"/>
        </w:rPr>
        <w:t>)</w:t>
      </w:r>
      <w:proofErr w:type="gramEnd"/>
    </w:p>
    <w:p w:rsidR="00BF2CD8" w:rsidRPr="00BF2CD8" w:rsidRDefault="00BF2CD8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2CD8">
        <w:rPr>
          <w:b/>
          <w:sz w:val="24"/>
          <w:szCs w:val="24"/>
        </w:rPr>
        <w:t>Artigo 1º - inciso XI</w:t>
      </w:r>
      <w:r w:rsidRPr="00BF2CD8">
        <w:rPr>
          <w:b/>
          <w:i/>
          <w:sz w:val="24"/>
          <w:szCs w:val="24"/>
        </w:rPr>
        <w:t xml:space="preserve"> </w:t>
      </w:r>
      <w:r w:rsidRPr="00BF2CD8">
        <w:rPr>
          <w:sz w:val="24"/>
          <w:szCs w:val="24"/>
        </w:rPr>
        <w:t xml:space="preserve">(A avaliação dos impactos da cobrança sobre o preço </w:t>
      </w:r>
      <w:proofErr w:type="gramStart"/>
      <w:r w:rsidRPr="00BF2CD8">
        <w:rPr>
          <w:sz w:val="24"/>
          <w:szCs w:val="24"/>
        </w:rPr>
        <w:t>econômico da água para os setores usuários industriais enfocando os custos de produção</w:t>
      </w:r>
      <w:proofErr w:type="gramEnd"/>
      <w:r w:rsidRPr="00BF2CD8">
        <w:rPr>
          <w:sz w:val="24"/>
          <w:szCs w:val="24"/>
        </w:rPr>
        <w:t>)</w:t>
      </w:r>
    </w:p>
    <w:p w:rsidR="00976CAB" w:rsidRPr="00BF2CD8" w:rsidRDefault="00976CAB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976CAB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b/>
          <w:color w:val="FF0000"/>
          <w:sz w:val="24"/>
          <w:szCs w:val="24"/>
        </w:rPr>
        <w:t xml:space="preserve">Resposta: </w:t>
      </w:r>
      <w:r w:rsidR="00BF2CD8" w:rsidRPr="00BF2CD8">
        <w:rPr>
          <w:sz w:val="24"/>
          <w:szCs w:val="24"/>
        </w:rPr>
        <w:t xml:space="preserve">Dentro do período de discussão sobre a implantação da Cobrança pelo uso da água na Bacia do </w:t>
      </w:r>
      <w:proofErr w:type="gramStart"/>
      <w:r w:rsidR="00BF2CD8" w:rsidRPr="00BF2CD8">
        <w:rPr>
          <w:sz w:val="24"/>
          <w:szCs w:val="24"/>
        </w:rPr>
        <w:t>Alto Paranapanema</w:t>
      </w:r>
      <w:proofErr w:type="gramEnd"/>
      <w:r w:rsidR="00BF2CD8" w:rsidRPr="00BF2CD8">
        <w:rPr>
          <w:sz w:val="24"/>
          <w:szCs w:val="24"/>
        </w:rPr>
        <w:t>, o Grupo Técnico da Cobrança (GT-COB) simulou valores de forma a minimizar seus impactos na composição dos custos dos setores que irão pagar neste primeiro momento, ou seja, os setores Industrial e Urbano (Companhias de Saneamento Básico, rede hoteleira, condomínios residenciais e afins).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 xml:space="preserve">Como decidido pelo GT-COB, na Bacia do </w:t>
      </w:r>
      <w:proofErr w:type="gramStart"/>
      <w:r w:rsidRPr="00BF2CD8">
        <w:rPr>
          <w:sz w:val="24"/>
          <w:szCs w:val="24"/>
        </w:rPr>
        <w:t>Alto Paranapanema</w:t>
      </w:r>
      <w:proofErr w:type="gramEnd"/>
      <w:r w:rsidRPr="00BF2CD8">
        <w:rPr>
          <w:sz w:val="24"/>
          <w:szCs w:val="24"/>
        </w:rPr>
        <w:t>, os valores serão cobrados de forma progressiva, obedecendo a seguinte crescente: 60% no 1º ano (2014); 75% no 2º ano (2015) e 100% a partir do 3º ano (2016).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É sabido que as empresas do setor de Saneamento Básico (SABESP e Autarquias Municipais, por exemplo) terão toda liberdade para arbitrar sobre o repasse ou não para seus clientes (consumidores), dos custos a serem gerados pela Cobrança, com exceção sobre aqueles que se enquadrarem, comprovadamente, na faixa de “baixa renda” (tarifa social).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Já para os usuários de água cadastrados na categoria “uso insignificante”, não incidirá a Cobrança, conforme preceitua a Lei 12.183/05. Vale lembrar que a Cobrança pelo Uso da Água no CBH-ALPA incidirá apenas sobre os usuários cadastrados e outorgados pelo DAEE.</w:t>
      </w:r>
    </w:p>
    <w:p w:rsidR="00BF2CD8" w:rsidRDefault="00BF2CD8" w:rsidP="00BF2CD8">
      <w:pPr>
        <w:spacing w:line="360" w:lineRule="auto"/>
        <w:jc w:val="both"/>
        <w:rPr>
          <w:i/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i/>
          <w:sz w:val="24"/>
          <w:szCs w:val="24"/>
        </w:rPr>
      </w:pPr>
      <w:r w:rsidRPr="00BF2CD8">
        <w:rPr>
          <w:i/>
          <w:sz w:val="24"/>
          <w:szCs w:val="24"/>
        </w:rPr>
        <w:t>Simulação e Variação de Valores: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Setor do Saneamento Básico (aplicando-se também aos hotéis, condomínios e afins):</w:t>
      </w: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right"/>
        <w:rPr>
          <w:sz w:val="24"/>
          <w:szCs w:val="24"/>
        </w:rPr>
      </w:pPr>
      <w:r w:rsidRPr="00BF2CD8">
        <w:rPr>
          <w:sz w:val="24"/>
          <w:szCs w:val="24"/>
        </w:rPr>
        <w:t xml:space="preserve">Folha </w:t>
      </w:r>
      <w:r>
        <w:rPr>
          <w:sz w:val="24"/>
          <w:szCs w:val="24"/>
        </w:rPr>
        <w:t>3</w:t>
      </w:r>
      <w:r w:rsidRPr="00BF2CD8">
        <w:rPr>
          <w:sz w:val="24"/>
          <w:szCs w:val="24"/>
        </w:rPr>
        <w:t>/</w:t>
      </w:r>
      <w:r>
        <w:rPr>
          <w:sz w:val="24"/>
          <w:szCs w:val="24"/>
        </w:rPr>
        <w:t>7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 xml:space="preserve">Com relação à diferenciação de valores a serem cobrados sobre a SABESP e municípios autônomos que operam o sistema de saneamento básico, os que efetuarem tratamento de esgoto apresentarão </w:t>
      </w:r>
      <w:proofErr w:type="gramStart"/>
      <w:r w:rsidRPr="00BF2CD8">
        <w:rPr>
          <w:sz w:val="24"/>
          <w:szCs w:val="24"/>
        </w:rPr>
        <w:t>estimativas</w:t>
      </w:r>
      <w:proofErr w:type="gramEnd"/>
      <w:r w:rsidRPr="00BF2CD8">
        <w:rPr>
          <w:sz w:val="24"/>
          <w:szCs w:val="24"/>
        </w:rPr>
        <w:t xml:space="preserve"> </w:t>
      </w:r>
      <w:proofErr w:type="gramStart"/>
      <w:r w:rsidRPr="00BF2CD8">
        <w:rPr>
          <w:sz w:val="24"/>
          <w:szCs w:val="24"/>
        </w:rPr>
        <w:t>de</w:t>
      </w:r>
      <w:proofErr w:type="gramEnd"/>
      <w:r w:rsidRPr="00BF2CD8">
        <w:rPr>
          <w:sz w:val="24"/>
          <w:szCs w:val="24"/>
        </w:rPr>
        <w:t xml:space="preserve"> variação da ordem de R$ 2,50 a R$ 3,50 / hab./ano. Caso o município ou a SABESP não realize o tratamento de esgoto, este valor variará da ordem de R$ 3,50 a R$4,50 / hab./ano.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Setor Industrial: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 xml:space="preserve">Em se tratando do setor industrial, conforme apresentado no Plano de Bacia do </w:t>
      </w:r>
      <w:proofErr w:type="gramStart"/>
      <w:r w:rsidRPr="00BF2CD8">
        <w:rPr>
          <w:sz w:val="24"/>
          <w:szCs w:val="24"/>
        </w:rPr>
        <w:t>Alto Paranapanema</w:t>
      </w:r>
      <w:proofErr w:type="gramEnd"/>
      <w:r w:rsidRPr="00BF2CD8">
        <w:rPr>
          <w:sz w:val="24"/>
          <w:szCs w:val="24"/>
        </w:rPr>
        <w:t>, as indústrias mais significativas na Bacia se concentram no setor alcooleiro (Usinas de Açúcar e Álcool, Destilarias e afins)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Obedecendo a forma progressiva de implantação da Cobrança, os impactos na forma de percentuais para as indústrias que utilizarem água da rede pública captadas superficialmente serão da ordem de: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- no 1º ano: 2% a 9% de acréscimo na conta de água;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- no 2º ano: 3% a 11,5% de acréscimo na conta de água;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- do 3º ano em diante: 3,5 a 14% de acréscimo na conta de água.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Vale ressaltar que estes percentuais são estimativas, já que a SABESP bem como os municípios autônomos, não se manifestaram oficialmente sobre a incisão de valores a serem cobrados das indústrias.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 xml:space="preserve">Já para as indústrias que captam água por sistema próprio, ou seja, não fazem parte da rede pública, os valores a serem </w:t>
      </w:r>
      <w:proofErr w:type="gramStart"/>
      <w:r w:rsidRPr="00BF2CD8">
        <w:rPr>
          <w:sz w:val="24"/>
          <w:szCs w:val="24"/>
        </w:rPr>
        <w:t>cobrados serão de acordo com a medição ou a declaração do volume outorgado</w:t>
      </w:r>
      <w:proofErr w:type="gramEnd"/>
      <w:r w:rsidRPr="00BF2CD8">
        <w:rPr>
          <w:sz w:val="24"/>
          <w:szCs w:val="24"/>
        </w:rPr>
        <w:t>.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Para as captações subterrâneas, precavendo-se contra um aumento de extração de água dos aquíferos, os valores de forma progressiva impactantes estão estimados em: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- no 1º ano: 2% a 9%;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- no 2º ano: 3% a 12%;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- do 3º ano em diante: 4% a 15%.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 xml:space="preserve">Estes percentuais são para as indústrias que utilizarem água do sistema público de </w:t>
      </w:r>
      <w:proofErr w:type="gramStart"/>
      <w:r w:rsidRPr="00BF2CD8">
        <w:rPr>
          <w:sz w:val="24"/>
          <w:szCs w:val="24"/>
        </w:rPr>
        <w:t>abastecimento captados subterraneamente</w:t>
      </w:r>
      <w:proofErr w:type="gramEnd"/>
      <w:r w:rsidRPr="00BF2CD8">
        <w:rPr>
          <w:sz w:val="24"/>
          <w:szCs w:val="24"/>
        </w:rPr>
        <w:t xml:space="preserve">. Vale lembrar que tais percentuais (valores) ainda serão avaliados, </w:t>
      </w:r>
      <w:proofErr w:type="gramStart"/>
      <w:r w:rsidRPr="00BF2CD8">
        <w:rPr>
          <w:sz w:val="24"/>
          <w:szCs w:val="24"/>
        </w:rPr>
        <w:t>à</w:t>
      </w:r>
      <w:proofErr w:type="gramEnd"/>
      <w:r w:rsidRPr="00BF2CD8">
        <w:rPr>
          <w:sz w:val="24"/>
          <w:szCs w:val="24"/>
        </w:rPr>
        <w:t xml:space="preserve"> critério de repasse, com mais detalhes pela SABESP e Sistemas Autônomos, tanto para consumo, extração e diluição de esgotos.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Para os principais setores industriais da Bacia temos os seguintes valores, em média e de forma progressiva de implantação: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Default="00BF2CD8" w:rsidP="00BF2CD8">
      <w:pPr>
        <w:spacing w:line="360" w:lineRule="auto"/>
        <w:jc w:val="right"/>
        <w:rPr>
          <w:sz w:val="24"/>
          <w:szCs w:val="24"/>
        </w:rPr>
      </w:pPr>
      <w:r w:rsidRPr="00BF2CD8">
        <w:rPr>
          <w:sz w:val="24"/>
          <w:szCs w:val="24"/>
        </w:rPr>
        <w:t xml:space="preserve">Folha </w:t>
      </w:r>
      <w:r>
        <w:rPr>
          <w:sz w:val="24"/>
          <w:szCs w:val="24"/>
        </w:rPr>
        <w:t>4</w:t>
      </w:r>
      <w:r w:rsidRPr="00BF2CD8">
        <w:rPr>
          <w:sz w:val="24"/>
          <w:szCs w:val="24"/>
        </w:rPr>
        <w:t>/</w:t>
      </w:r>
      <w:r>
        <w:rPr>
          <w:sz w:val="24"/>
          <w:szCs w:val="24"/>
        </w:rPr>
        <w:t>7</w:t>
      </w:r>
    </w:p>
    <w:p w:rsidR="00BF2CD8" w:rsidRPr="00BF2CD8" w:rsidRDefault="00BF2CD8" w:rsidP="00BF2CD8">
      <w:pPr>
        <w:spacing w:line="360" w:lineRule="auto"/>
        <w:jc w:val="right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- Setor Alcooleiro: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  <w:t>1º ano: R$ 0,060 /</w:t>
      </w:r>
      <w:proofErr w:type="spellStart"/>
      <w:r w:rsidRPr="00BF2CD8">
        <w:rPr>
          <w:sz w:val="24"/>
          <w:szCs w:val="24"/>
        </w:rPr>
        <w:t>ton</w:t>
      </w:r>
      <w:proofErr w:type="spellEnd"/>
      <w:r w:rsidRPr="00BF2CD8">
        <w:rPr>
          <w:sz w:val="24"/>
          <w:szCs w:val="24"/>
        </w:rPr>
        <w:t>/ano;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  <w:t>2º ano: R$ 0,070 /</w:t>
      </w:r>
      <w:proofErr w:type="spellStart"/>
      <w:r w:rsidRPr="00BF2CD8">
        <w:rPr>
          <w:sz w:val="24"/>
          <w:szCs w:val="24"/>
        </w:rPr>
        <w:t>ton</w:t>
      </w:r>
      <w:proofErr w:type="spellEnd"/>
      <w:r w:rsidRPr="00BF2CD8">
        <w:rPr>
          <w:sz w:val="24"/>
          <w:szCs w:val="24"/>
        </w:rPr>
        <w:t>/ano;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  <w:t>3º ano em diante: R$ 0,090 /</w:t>
      </w:r>
      <w:proofErr w:type="spellStart"/>
      <w:r w:rsidRPr="00BF2CD8">
        <w:rPr>
          <w:sz w:val="24"/>
          <w:szCs w:val="24"/>
        </w:rPr>
        <w:t>ton</w:t>
      </w:r>
      <w:proofErr w:type="spellEnd"/>
      <w:r w:rsidRPr="00BF2CD8">
        <w:rPr>
          <w:sz w:val="24"/>
          <w:szCs w:val="24"/>
        </w:rPr>
        <w:t>/ano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 xml:space="preserve">- </w:t>
      </w:r>
      <w:proofErr w:type="gramStart"/>
      <w:r w:rsidRPr="00BF2CD8">
        <w:rPr>
          <w:sz w:val="24"/>
          <w:szCs w:val="24"/>
        </w:rPr>
        <w:t>Setor Frigorifico</w:t>
      </w:r>
      <w:proofErr w:type="gramEnd"/>
      <w:r w:rsidRPr="00BF2CD8">
        <w:rPr>
          <w:sz w:val="24"/>
          <w:szCs w:val="24"/>
        </w:rPr>
        <w:t xml:space="preserve"> / Laticínio: 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  <w:t>1º ano: R$ 0,10 /</w:t>
      </w:r>
      <w:proofErr w:type="spellStart"/>
      <w:r w:rsidRPr="00BF2CD8">
        <w:rPr>
          <w:sz w:val="24"/>
          <w:szCs w:val="24"/>
        </w:rPr>
        <w:t>ton</w:t>
      </w:r>
      <w:proofErr w:type="spellEnd"/>
      <w:r w:rsidRPr="00BF2CD8">
        <w:rPr>
          <w:sz w:val="24"/>
          <w:szCs w:val="24"/>
        </w:rPr>
        <w:t>/ano;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  <w:t>2º ano: R$ 0,15 /</w:t>
      </w:r>
      <w:proofErr w:type="spellStart"/>
      <w:r w:rsidRPr="00BF2CD8">
        <w:rPr>
          <w:sz w:val="24"/>
          <w:szCs w:val="24"/>
        </w:rPr>
        <w:t>ton</w:t>
      </w:r>
      <w:proofErr w:type="spellEnd"/>
      <w:r w:rsidRPr="00BF2CD8">
        <w:rPr>
          <w:sz w:val="24"/>
          <w:szCs w:val="24"/>
        </w:rPr>
        <w:t>/ano;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  <w:t>3º ano em diante: R$ 0,20 /</w:t>
      </w:r>
      <w:proofErr w:type="spellStart"/>
      <w:r w:rsidRPr="00BF2CD8">
        <w:rPr>
          <w:sz w:val="24"/>
          <w:szCs w:val="24"/>
        </w:rPr>
        <w:t>ton</w:t>
      </w:r>
      <w:proofErr w:type="spellEnd"/>
      <w:r w:rsidRPr="00BF2CD8">
        <w:rPr>
          <w:sz w:val="24"/>
          <w:szCs w:val="24"/>
        </w:rPr>
        <w:t>/ano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- Setor de Mineração:</w:t>
      </w:r>
    </w:p>
    <w:p w:rsidR="00BF2CD8" w:rsidRPr="00BF2CD8" w:rsidRDefault="00BF2CD8" w:rsidP="00BF2CD8">
      <w:pPr>
        <w:spacing w:line="360" w:lineRule="auto"/>
        <w:ind w:left="1416" w:firstLine="708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1º ano: R$ 0,015 /</w:t>
      </w:r>
      <w:proofErr w:type="spellStart"/>
      <w:r w:rsidRPr="00BF2CD8">
        <w:rPr>
          <w:sz w:val="24"/>
          <w:szCs w:val="24"/>
        </w:rPr>
        <w:t>ton</w:t>
      </w:r>
      <w:proofErr w:type="spellEnd"/>
      <w:r w:rsidRPr="00BF2CD8">
        <w:rPr>
          <w:sz w:val="24"/>
          <w:szCs w:val="24"/>
        </w:rPr>
        <w:t>/ano;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  <w:t>2º ano: R$ 0,020 /</w:t>
      </w:r>
      <w:proofErr w:type="spellStart"/>
      <w:r w:rsidRPr="00BF2CD8">
        <w:rPr>
          <w:sz w:val="24"/>
          <w:szCs w:val="24"/>
        </w:rPr>
        <w:t>ton</w:t>
      </w:r>
      <w:proofErr w:type="spellEnd"/>
      <w:r w:rsidRPr="00BF2CD8">
        <w:rPr>
          <w:sz w:val="24"/>
          <w:szCs w:val="24"/>
        </w:rPr>
        <w:t>/ano;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</w:r>
      <w:r w:rsidRPr="00BF2CD8">
        <w:rPr>
          <w:sz w:val="24"/>
          <w:szCs w:val="24"/>
        </w:rPr>
        <w:tab/>
        <w:t>3º ano em diante: R$ 0,030 /</w:t>
      </w:r>
      <w:proofErr w:type="spellStart"/>
      <w:r w:rsidRPr="00BF2CD8">
        <w:rPr>
          <w:sz w:val="24"/>
          <w:szCs w:val="24"/>
        </w:rPr>
        <w:t>ton</w:t>
      </w:r>
      <w:proofErr w:type="spellEnd"/>
      <w:r w:rsidRPr="00BF2CD8">
        <w:rPr>
          <w:sz w:val="24"/>
          <w:szCs w:val="24"/>
        </w:rPr>
        <w:t>/ano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Obs.: Base de Cálculo:</w:t>
      </w:r>
    </w:p>
    <w:p w:rsidR="00BF2CD8" w:rsidRPr="00BF2CD8" w:rsidRDefault="00BF2CD8" w:rsidP="00BF2CD8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Para o setor de saneamento/usuários privados = valores mínimos de tarifas;</w:t>
      </w:r>
    </w:p>
    <w:p w:rsidR="00BF2CD8" w:rsidRPr="00BF2CD8" w:rsidRDefault="00BF2CD8" w:rsidP="00BF2CD8">
      <w:pPr>
        <w:pStyle w:val="PargrafodaLista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Para o setor industrial = volume de água utilizado por unidade produzida.</w:t>
      </w: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Conclusão: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 xml:space="preserve">Como conclusão, podemos observar que, para os consumidores públicos, ou seja, para as pessoas que residem nos municípios da Bacia do </w:t>
      </w:r>
      <w:proofErr w:type="gramStart"/>
      <w:r w:rsidRPr="00BF2CD8">
        <w:rPr>
          <w:sz w:val="24"/>
          <w:szCs w:val="24"/>
        </w:rPr>
        <w:t>Alto Paranapanema</w:t>
      </w:r>
      <w:proofErr w:type="gramEnd"/>
      <w:r w:rsidRPr="00BF2CD8">
        <w:rPr>
          <w:sz w:val="24"/>
          <w:szCs w:val="24"/>
        </w:rPr>
        <w:t>, o valor a ser cobrado em sua conta de água será bem pequeno (desde que a SABESP e os municípios autônomos repassem os valores), causando, desta forma, impacto mínimo sobre a conta mensal e, consequentemente, anual.</w:t>
      </w: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  <w:r w:rsidRPr="00BF2CD8">
        <w:rPr>
          <w:sz w:val="24"/>
          <w:szCs w:val="24"/>
        </w:rPr>
        <w:t>Para as indústrias, observando que a atividade industrial na Bacia é pequena, os valores cobrados não influenciarão de forma significativa a causar retração na produção, bem como diminuição dois lucros. A questão do aumento do preço dos produtos para o consumidor final, obviamente, obedecerão à questão de mercado.</w:t>
      </w: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right"/>
        <w:rPr>
          <w:sz w:val="24"/>
          <w:szCs w:val="24"/>
        </w:rPr>
      </w:pPr>
      <w:r w:rsidRPr="00BF2CD8">
        <w:rPr>
          <w:sz w:val="24"/>
          <w:szCs w:val="24"/>
        </w:rPr>
        <w:lastRenderedPageBreak/>
        <w:t xml:space="preserve">Folha </w:t>
      </w:r>
      <w:r>
        <w:rPr>
          <w:sz w:val="24"/>
          <w:szCs w:val="24"/>
        </w:rPr>
        <w:t>5</w:t>
      </w:r>
      <w:r w:rsidRPr="00BF2CD8">
        <w:rPr>
          <w:sz w:val="24"/>
          <w:szCs w:val="24"/>
        </w:rPr>
        <w:t>/</w:t>
      </w:r>
      <w:r>
        <w:rPr>
          <w:sz w:val="24"/>
          <w:szCs w:val="24"/>
        </w:rPr>
        <w:t>7</w:t>
      </w: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b/>
          <w:sz w:val="24"/>
          <w:szCs w:val="24"/>
        </w:rPr>
      </w:pPr>
      <w:r w:rsidRPr="00BF2CD8">
        <w:rPr>
          <w:b/>
          <w:sz w:val="24"/>
          <w:szCs w:val="24"/>
        </w:rPr>
        <w:t>Impacto do Potencial de Arrecadação Anual, por usos no CBH-</w:t>
      </w:r>
      <w:proofErr w:type="gramStart"/>
      <w:r w:rsidRPr="00BF2CD8">
        <w:rPr>
          <w:b/>
          <w:sz w:val="24"/>
          <w:szCs w:val="24"/>
        </w:rPr>
        <w:t>ALPA</w:t>
      </w:r>
      <w:proofErr w:type="gramEnd"/>
    </w:p>
    <w:tbl>
      <w:tblPr>
        <w:tblStyle w:val="Tabelacomgrade"/>
        <w:tblW w:w="0" w:type="auto"/>
        <w:tblLook w:val="04A0"/>
      </w:tblPr>
      <w:tblGrid>
        <w:gridCol w:w="2660"/>
        <w:gridCol w:w="1984"/>
        <w:gridCol w:w="1984"/>
        <w:gridCol w:w="1985"/>
      </w:tblGrid>
      <w:tr w:rsidR="00BF2CD8" w:rsidRPr="00BF2CD8" w:rsidTr="00D571C6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Tipo de Uso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1º ano de implantação</w:t>
            </w:r>
          </w:p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(60%)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2º ano de implantação</w:t>
            </w:r>
          </w:p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(75%)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3º ano de implantação</w:t>
            </w:r>
          </w:p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(100%)</w:t>
            </w:r>
          </w:p>
        </w:tc>
      </w:tr>
      <w:tr w:rsidR="00BF2CD8" w:rsidRPr="00BF2CD8" w:rsidTr="00D571C6">
        <w:trPr>
          <w:trHeight w:val="567"/>
        </w:trPr>
        <w:tc>
          <w:tcPr>
            <w:tcW w:w="8613" w:type="dxa"/>
            <w:gridSpan w:val="4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Setor de Saneamento Básico (R$ / ano)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Captação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249.552,68</w:t>
            </w:r>
          </w:p>
        </w:tc>
        <w:tc>
          <w:tcPr>
            <w:tcW w:w="1984" w:type="dxa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311.940,85</w:t>
            </w:r>
          </w:p>
        </w:tc>
        <w:tc>
          <w:tcPr>
            <w:tcW w:w="1985" w:type="dxa"/>
            <w:vAlign w:val="center"/>
          </w:tcPr>
          <w:p w:rsidR="00BF2CD8" w:rsidRPr="00BF2CD8" w:rsidRDefault="00BF2CD8" w:rsidP="00BF2C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415.921,13 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Consumo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173.446,27</w:t>
            </w:r>
          </w:p>
        </w:tc>
        <w:tc>
          <w:tcPr>
            <w:tcW w:w="1984" w:type="dxa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216.807,84</w:t>
            </w:r>
          </w:p>
        </w:tc>
        <w:tc>
          <w:tcPr>
            <w:tcW w:w="1985" w:type="dxa"/>
            <w:vAlign w:val="center"/>
          </w:tcPr>
          <w:p w:rsidR="00BF2CD8" w:rsidRPr="00BF2CD8" w:rsidRDefault="00BF2CD8" w:rsidP="00BF2C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289.077,12 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Lançamento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102.901,12</w:t>
            </w:r>
          </w:p>
        </w:tc>
        <w:tc>
          <w:tcPr>
            <w:tcW w:w="1984" w:type="dxa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128.626,40</w:t>
            </w:r>
          </w:p>
        </w:tc>
        <w:tc>
          <w:tcPr>
            <w:tcW w:w="1985" w:type="dxa"/>
            <w:vAlign w:val="center"/>
          </w:tcPr>
          <w:p w:rsidR="00BF2CD8" w:rsidRPr="00BF2CD8" w:rsidRDefault="00BF2CD8" w:rsidP="00BF2C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171.501,86 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525.900,07</w:t>
            </w:r>
          </w:p>
        </w:tc>
        <w:tc>
          <w:tcPr>
            <w:tcW w:w="1984" w:type="dxa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657.375,09</w:t>
            </w:r>
          </w:p>
        </w:tc>
        <w:tc>
          <w:tcPr>
            <w:tcW w:w="1985" w:type="dxa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876.500,11</w:t>
            </w:r>
          </w:p>
        </w:tc>
      </w:tr>
      <w:tr w:rsidR="00BF2CD8" w:rsidRPr="00BF2CD8" w:rsidTr="00D571C6">
        <w:trPr>
          <w:trHeight w:val="567"/>
        </w:trPr>
        <w:tc>
          <w:tcPr>
            <w:tcW w:w="8613" w:type="dxa"/>
            <w:gridSpan w:val="4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Setor Industrial (R$ / ano)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Captação</w:t>
            </w:r>
          </w:p>
        </w:tc>
        <w:tc>
          <w:tcPr>
            <w:tcW w:w="1984" w:type="dxa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354.510,48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443.138,10</w:t>
            </w:r>
          </w:p>
        </w:tc>
        <w:tc>
          <w:tcPr>
            <w:tcW w:w="1985" w:type="dxa"/>
          </w:tcPr>
          <w:p w:rsidR="00BF2CD8" w:rsidRPr="00BF2CD8" w:rsidRDefault="00BF2CD8" w:rsidP="00BF2C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590.850,80 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Consumo</w:t>
            </w:r>
          </w:p>
        </w:tc>
        <w:tc>
          <w:tcPr>
            <w:tcW w:w="1984" w:type="dxa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787.646,59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984.558,24</w:t>
            </w:r>
          </w:p>
        </w:tc>
        <w:tc>
          <w:tcPr>
            <w:tcW w:w="1985" w:type="dxa"/>
          </w:tcPr>
          <w:p w:rsidR="00BF2CD8" w:rsidRPr="00BF2CD8" w:rsidRDefault="00BF2CD8" w:rsidP="00BF2C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1.312.744,32 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Lançamento</w:t>
            </w:r>
          </w:p>
        </w:tc>
        <w:tc>
          <w:tcPr>
            <w:tcW w:w="1984" w:type="dxa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233,28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291,60</w:t>
            </w:r>
          </w:p>
        </w:tc>
        <w:tc>
          <w:tcPr>
            <w:tcW w:w="1985" w:type="dxa"/>
          </w:tcPr>
          <w:p w:rsidR="00BF2CD8" w:rsidRPr="00BF2CD8" w:rsidRDefault="00BF2CD8" w:rsidP="00BF2C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388,80 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1.142.390,35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1.427.987,94</w:t>
            </w:r>
          </w:p>
        </w:tc>
        <w:tc>
          <w:tcPr>
            <w:tcW w:w="1985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1.903.983,92</w:t>
            </w:r>
          </w:p>
        </w:tc>
      </w:tr>
      <w:tr w:rsidR="00BF2CD8" w:rsidRPr="00BF2CD8" w:rsidTr="00D571C6">
        <w:trPr>
          <w:trHeight w:val="567"/>
        </w:trPr>
        <w:tc>
          <w:tcPr>
            <w:tcW w:w="8613" w:type="dxa"/>
            <w:gridSpan w:val="4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Outros Setores (R$ / ano)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Captação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373.296,99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466.621,24</w:t>
            </w:r>
          </w:p>
        </w:tc>
        <w:tc>
          <w:tcPr>
            <w:tcW w:w="1985" w:type="dxa"/>
          </w:tcPr>
          <w:p w:rsidR="00BF2CD8" w:rsidRPr="00BF2CD8" w:rsidRDefault="00BF2CD8" w:rsidP="00BF2C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622.161,65 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Consumo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829.548,86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1.036.936,08</w:t>
            </w:r>
          </w:p>
        </w:tc>
        <w:tc>
          <w:tcPr>
            <w:tcW w:w="1985" w:type="dxa"/>
          </w:tcPr>
          <w:p w:rsidR="00BF2CD8" w:rsidRPr="00BF2CD8" w:rsidRDefault="00BF2CD8" w:rsidP="00BF2C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1.382.581,44 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Lançamento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20.342,02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sz w:val="24"/>
                <w:szCs w:val="24"/>
              </w:rPr>
              <w:t>25.427,52</w:t>
            </w:r>
          </w:p>
        </w:tc>
        <w:tc>
          <w:tcPr>
            <w:tcW w:w="1985" w:type="dxa"/>
          </w:tcPr>
          <w:p w:rsidR="00BF2CD8" w:rsidRPr="00BF2CD8" w:rsidRDefault="00BF2CD8" w:rsidP="00BF2C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33.903,36 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1.223.187,87</w:t>
            </w: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1.528.984,84</w:t>
            </w:r>
          </w:p>
        </w:tc>
        <w:tc>
          <w:tcPr>
            <w:tcW w:w="1985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2.038.646,45</w:t>
            </w:r>
          </w:p>
        </w:tc>
      </w:tr>
      <w:tr w:rsidR="00BF2CD8" w:rsidRPr="00BF2CD8" w:rsidTr="00D571C6">
        <w:tc>
          <w:tcPr>
            <w:tcW w:w="2660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CD8" w:rsidRPr="00BF2CD8" w:rsidTr="00D571C6">
        <w:tc>
          <w:tcPr>
            <w:tcW w:w="2660" w:type="dxa"/>
            <w:shd w:val="clear" w:color="auto" w:fill="D9D9D9" w:themeFill="background1" w:themeFillShade="D9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2.891.478,29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F2CD8" w:rsidRPr="00BF2CD8" w:rsidRDefault="00BF2CD8" w:rsidP="00BF2CD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CD8">
              <w:rPr>
                <w:rFonts w:ascii="Times New Roman" w:hAnsi="Times New Roman" w:cs="Times New Roman"/>
                <w:b/>
                <w:sz w:val="24"/>
                <w:szCs w:val="24"/>
              </w:rPr>
              <w:t>3.614.347,87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F2CD8" w:rsidRPr="00BF2CD8" w:rsidRDefault="00BF2CD8" w:rsidP="00BF2CD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  <w:b/>
                <w:bCs/>
              </w:rPr>
              <w:t>4.819.130,48</w:t>
            </w:r>
          </w:p>
        </w:tc>
      </w:tr>
    </w:tbl>
    <w:p w:rsidR="00BF2CD8" w:rsidRPr="00BF2CD8" w:rsidRDefault="00BF2CD8" w:rsidP="00BF2CD8">
      <w:pPr>
        <w:spacing w:line="360" w:lineRule="auto"/>
        <w:jc w:val="both"/>
        <w:rPr>
          <w:sz w:val="18"/>
          <w:szCs w:val="18"/>
        </w:rPr>
      </w:pPr>
      <w:r w:rsidRPr="00BF2CD8">
        <w:rPr>
          <w:sz w:val="18"/>
          <w:szCs w:val="18"/>
        </w:rPr>
        <w:t xml:space="preserve">Obs.: Os percentuais acima </w:t>
      </w:r>
      <w:proofErr w:type="gramStart"/>
      <w:r w:rsidRPr="00BF2CD8">
        <w:rPr>
          <w:sz w:val="18"/>
          <w:szCs w:val="18"/>
        </w:rPr>
        <w:t>referem-se</w:t>
      </w:r>
      <w:proofErr w:type="gramEnd"/>
      <w:r w:rsidRPr="00BF2CD8">
        <w:rPr>
          <w:sz w:val="18"/>
          <w:szCs w:val="18"/>
        </w:rPr>
        <w:t xml:space="preserve"> à progressividade de implantação da Cobrança pelo Uso da Água na Bacia Hidrográfica do Alto Paranapanema (UGRHI 14)</w:t>
      </w: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76CAB" w:rsidRPr="00BF2CD8" w:rsidRDefault="00976CAB" w:rsidP="00BF2CD8">
      <w:pPr>
        <w:spacing w:line="360" w:lineRule="auto"/>
        <w:jc w:val="both"/>
        <w:rPr>
          <w:i/>
          <w:sz w:val="24"/>
          <w:szCs w:val="24"/>
        </w:rPr>
      </w:pPr>
      <w:r w:rsidRPr="00BF2CD8">
        <w:rPr>
          <w:b/>
          <w:sz w:val="24"/>
          <w:szCs w:val="24"/>
        </w:rPr>
        <w:t>Artigo 1º - inciso XVII</w:t>
      </w:r>
      <w:r w:rsidRPr="00BF2CD8">
        <w:rPr>
          <w:b/>
          <w:i/>
          <w:sz w:val="24"/>
          <w:szCs w:val="24"/>
        </w:rPr>
        <w:t xml:space="preserve"> </w:t>
      </w:r>
      <w:r w:rsidRPr="00BF2CD8">
        <w:rPr>
          <w:sz w:val="24"/>
          <w:szCs w:val="24"/>
        </w:rPr>
        <w:t>(Os planos de investimentos para aplicação dos recursos em obras ou ações previstas no Plano de Bacia para atendimento às metas estabelecidas, e as parcelas dos investimentos a serem cobertos com o produto da cobrança).</w:t>
      </w: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F2CD8">
        <w:rPr>
          <w:b/>
          <w:color w:val="FF0000"/>
          <w:sz w:val="24"/>
          <w:szCs w:val="24"/>
        </w:rPr>
        <w:t xml:space="preserve">Resposta: </w:t>
      </w:r>
      <w:r w:rsidRPr="00BF2CD8">
        <w:rPr>
          <w:color w:val="000000" w:themeColor="text1"/>
          <w:sz w:val="24"/>
          <w:szCs w:val="24"/>
        </w:rPr>
        <w:t xml:space="preserve">O Plano da Bacia do </w:t>
      </w:r>
      <w:proofErr w:type="gramStart"/>
      <w:r w:rsidRPr="00BF2CD8">
        <w:rPr>
          <w:color w:val="000000" w:themeColor="text1"/>
          <w:sz w:val="24"/>
          <w:szCs w:val="24"/>
        </w:rPr>
        <w:t>Alto Paranapanema</w:t>
      </w:r>
      <w:proofErr w:type="gramEnd"/>
      <w:r w:rsidRPr="00BF2CD8">
        <w:rPr>
          <w:color w:val="000000" w:themeColor="text1"/>
          <w:sz w:val="24"/>
          <w:szCs w:val="24"/>
        </w:rPr>
        <w:t xml:space="preserve"> 2012/2015, aprovado pela Deliberação CBH-ALPA nº 105/2011, prevê a construção de três cenários financeiros possíveis para as ações necessárias de recuperação e conservação dos recursos hídricos da UGRHI 14: o Cenário Piso, o Desejável e o Cenário </w:t>
      </w:r>
    </w:p>
    <w:p w:rsidR="00BF2CD8" w:rsidRPr="00BF2CD8" w:rsidRDefault="00BF2CD8" w:rsidP="00BF2CD8">
      <w:pPr>
        <w:spacing w:line="360" w:lineRule="auto"/>
        <w:jc w:val="right"/>
        <w:rPr>
          <w:sz w:val="24"/>
          <w:szCs w:val="24"/>
        </w:rPr>
      </w:pPr>
      <w:r w:rsidRPr="00BF2CD8">
        <w:rPr>
          <w:sz w:val="24"/>
          <w:szCs w:val="24"/>
        </w:rPr>
        <w:lastRenderedPageBreak/>
        <w:t xml:space="preserve">Folha </w:t>
      </w:r>
      <w:r>
        <w:rPr>
          <w:sz w:val="24"/>
          <w:szCs w:val="24"/>
        </w:rPr>
        <w:t>6</w:t>
      </w:r>
      <w:r w:rsidRPr="00BF2CD8">
        <w:rPr>
          <w:sz w:val="24"/>
          <w:szCs w:val="24"/>
        </w:rPr>
        <w:t>/</w:t>
      </w:r>
      <w:r>
        <w:rPr>
          <w:sz w:val="24"/>
          <w:szCs w:val="24"/>
        </w:rPr>
        <w:t>7</w:t>
      </w:r>
    </w:p>
    <w:p w:rsidR="00BF2CD8" w:rsidRDefault="00BF2CD8" w:rsidP="00BF2CD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BF2CD8" w:rsidRDefault="00BF2CD8" w:rsidP="00BF2CD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F2CD8">
        <w:rPr>
          <w:color w:val="000000" w:themeColor="text1"/>
          <w:sz w:val="24"/>
          <w:szCs w:val="24"/>
        </w:rPr>
        <w:t xml:space="preserve">Recomendado. Para fins de aplicação dos recursos advindos da Cobrança, o Grupo Técnico da Cobrança (GT-COB) adotou, como referência, os valores do Cenário Recomendado, cujo montante é da ordem de 78.897.000,00 (Setenta e Oito Milhões e Oitocentos e Noventa e Sete Mil Reias). Partindo do princípio que a Cobrança pelo Uso da Água na Bacia do </w:t>
      </w:r>
      <w:proofErr w:type="gramStart"/>
      <w:r w:rsidRPr="00BF2CD8">
        <w:rPr>
          <w:color w:val="000000" w:themeColor="text1"/>
          <w:sz w:val="24"/>
          <w:szCs w:val="24"/>
        </w:rPr>
        <w:t>Alto Paranapanema</w:t>
      </w:r>
      <w:proofErr w:type="gramEnd"/>
      <w:r w:rsidRPr="00BF2CD8">
        <w:rPr>
          <w:color w:val="000000" w:themeColor="text1"/>
          <w:sz w:val="24"/>
          <w:szCs w:val="24"/>
        </w:rPr>
        <w:t xml:space="preserve"> será implantada a partir de 2014, teremos apenas 2 anos de aplicação dos recursos financeiros oriundos da mesma, ou seja, nos anos de 2014 e 2015, antes que o Plano seja revisado novamente. A simulação de arrecadação para a Bacia do </w:t>
      </w:r>
      <w:proofErr w:type="gramStart"/>
      <w:r w:rsidRPr="00BF2CD8">
        <w:rPr>
          <w:color w:val="000000" w:themeColor="text1"/>
          <w:sz w:val="24"/>
          <w:szCs w:val="24"/>
        </w:rPr>
        <w:t>Alto Paranapanema</w:t>
      </w:r>
      <w:proofErr w:type="gramEnd"/>
      <w:r w:rsidRPr="00BF2CD8">
        <w:rPr>
          <w:color w:val="000000" w:themeColor="text1"/>
          <w:sz w:val="24"/>
          <w:szCs w:val="24"/>
        </w:rPr>
        <w:t xml:space="preserve">, nos três primeiros anos de cobrança, é da ordem de 4.800.000,00 (Quatro Milhões e Oitocentos Mil Reais), o que corresponde ao percentual aproximado de 6% do Cenário Recomendado. </w:t>
      </w: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BF2CD8">
        <w:rPr>
          <w:color w:val="000000" w:themeColor="text1"/>
          <w:sz w:val="24"/>
          <w:szCs w:val="24"/>
        </w:rPr>
        <w:t xml:space="preserve">Sendo assim, de acordo com a progressividade proposta para a Cobrança no CBH-ALPA (60% no 1º ano; 75% no 2º ano e 100% a partir do 3º ano), o percentual de investimentos oriundos com os recursos da mesma </w:t>
      </w:r>
      <w:proofErr w:type="gramStart"/>
      <w:r w:rsidRPr="00BF2CD8">
        <w:rPr>
          <w:color w:val="000000" w:themeColor="text1"/>
          <w:sz w:val="24"/>
          <w:szCs w:val="24"/>
        </w:rPr>
        <w:t>obedecerão o</w:t>
      </w:r>
      <w:proofErr w:type="gramEnd"/>
      <w:r w:rsidRPr="00BF2CD8">
        <w:rPr>
          <w:color w:val="000000" w:themeColor="text1"/>
          <w:sz w:val="24"/>
          <w:szCs w:val="24"/>
        </w:rPr>
        <w:t xml:space="preserve"> quadro abaixo (para os três primeiros anos de implantação):</w:t>
      </w:r>
    </w:p>
    <w:p w:rsidR="003B482D" w:rsidRPr="00BF2CD8" w:rsidRDefault="003B482D" w:rsidP="00BF2CD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1440"/>
        <w:gridCol w:w="1441"/>
        <w:gridCol w:w="1441"/>
      </w:tblGrid>
      <w:tr w:rsidR="00976CAB" w:rsidRPr="00BF2CD8" w:rsidTr="00ED7BAA">
        <w:trPr>
          <w:trHeight w:val="288"/>
          <w:jc w:val="center"/>
        </w:trPr>
        <w:tc>
          <w:tcPr>
            <w:tcW w:w="4322" w:type="dxa"/>
            <w:vMerge w:val="restart"/>
            <w:vAlign w:val="center"/>
          </w:tcPr>
          <w:p w:rsidR="00976CAB" w:rsidRPr="00BF2CD8" w:rsidRDefault="00976CAB" w:rsidP="00BF2CD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F2CD8">
              <w:rPr>
                <w:b/>
                <w:color w:val="000000"/>
                <w:sz w:val="24"/>
                <w:szCs w:val="24"/>
              </w:rPr>
              <w:t>Metas do Plano de Bacia do</w:t>
            </w:r>
          </w:p>
          <w:p w:rsidR="00976CAB" w:rsidRPr="00BF2CD8" w:rsidRDefault="00976CAB" w:rsidP="00BF2CD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F2CD8">
              <w:rPr>
                <w:b/>
                <w:color w:val="000000"/>
                <w:sz w:val="24"/>
                <w:szCs w:val="24"/>
              </w:rPr>
              <w:t>CBH ALPA</w:t>
            </w:r>
          </w:p>
        </w:tc>
        <w:tc>
          <w:tcPr>
            <w:tcW w:w="4322" w:type="dxa"/>
            <w:gridSpan w:val="3"/>
            <w:vAlign w:val="center"/>
          </w:tcPr>
          <w:p w:rsidR="00976CAB" w:rsidRPr="00BF2CD8" w:rsidRDefault="00976CAB" w:rsidP="00BF2CD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F2CD8">
              <w:rPr>
                <w:b/>
                <w:color w:val="000000"/>
                <w:sz w:val="24"/>
                <w:szCs w:val="24"/>
              </w:rPr>
              <w:t>% a ser investido com recursos da Cobrança</w:t>
            </w:r>
          </w:p>
        </w:tc>
      </w:tr>
      <w:tr w:rsidR="00976CAB" w:rsidRPr="00BF2CD8" w:rsidTr="00ED7BAA">
        <w:trPr>
          <w:trHeight w:val="288"/>
          <w:jc w:val="center"/>
        </w:trPr>
        <w:tc>
          <w:tcPr>
            <w:tcW w:w="4322" w:type="dxa"/>
            <w:vMerge/>
            <w:vAlign w:val="center"/>
          </w:tcPr>
          <w:p w:rsidR="00976CAB" w:rsidRPr="00BF2CD8" w:rsidRDefault="00976CAB" w:rsidP="00BF2CD8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76CAB" w:rsidRPr="00BF2CD8" w:rsidRDefault="00976CAB" w:rsidP="00BF2CD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F2CD8">
              <w:rPr>
                <w:b/>
                <w:color w:val="000000"/>
                <w:sz w:val="24"/>
                <w:szCs w:val="24"/>
              </w:rPr>
              <w:t>1º. Ano (2014)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BF2CD8">
              <w:rPr>
                <w:b/>
                <w:color w:val="000000"/>
                <w:sz w:val="24"/>
                <w:szCs w:val="24"/>
              </w:rPr>
              <w:t>2º.</w:t>
            </w:r>
            <w:proofErr w:type="gramEnd"/>
            <w:r w:rsidRPr="00BF2CD8">
              <w:rPr>
                <w:b/>
                <w:color w:val="000000"/>
                <w:sz w:val="24"/>
                <w:szCs w:val="24"/>
              </w:rPr>
              <w:t>ano (2015)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BF2CD8">
              <w:rPr>
                <w:b/>
                <w:color w:val="000000"/>
                <w:sz w:val="24"/>
                <w:szCs w:val="24"/>
              </w:rPr>
              <w:t>3º.</w:t>
            </w:r>
            <w:proofErr w:type="gramEnd"/>
            <w:r w:rsidRPr="00BF2CD8">
              <w:rPr>
                <w:b/>
                <w:color w:val="000000"/>
                <w:sz w:val="24"/>
                <w:szCs w:val="24"/>
              </w:rPr>
              <w:t>ano * (2016)</w:t>
            </w:r>
          </w:p>
        </w:tc>
      </w:tr>
      <w:tr w:rsidR="00976CAB" w:rsidRPr="00BF2CD8" w:rsidTr="00ED7BAA">
        <w:trPr>
          <w:jc w:val="center"/>
        </w:trPr>
        <w:tc>
          <w:tcPr>
            <w:tcW w:w="4322" w:type="dxa"/>
            <w:vAlign w:val="center"/>
          </w:tcPr>
          <w:p w:rsidR="00976CAB" w:rsidRPr="00BF2CD8" w:rsidRDefault="00976CAB" w:rsidP="00BF2C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Conservação, recuperação da mata e vegetação </w:t>
            </w:r>
            <w:proofErr w:type="gramStart"/>
            <w:r w:rsidRPr="00BF2CD8">
              <w:rPr>
                <w:rFonts w:ascii="Times New Roman" w:hAnsi="Times New Roman" w:cs="Times New Roman"/>
              </w:rPr>
              <w:t>natural</w:t>
            </w:r>
            <w:proofErr w:type="gramEnd"/>
          </w:p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13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15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76CAB" w:rsidRPr="00BF2CD8" w:rsidTr="00ED7BAA">
        <w:trPr>
          <w:jc w:val="center"/>
        </w:trPr>
        <w:tc>
          <w:tcPr>
            <w:tcW w:w="4322" w:type="dxa"/>
            <w:vAlign w:val="center"/>
          </w:tcPr>
          <w:p w:rsidR="00976CAB" w:rsidRPr="00BF2CD8" w:rsidRDefault="00976CAB" w:rsidP="00BF2C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>Saneamento básico e resíduos sólidos</w:t>
            </w:r>
          </w:p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13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15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76CAB" w:rsidRPr="00BF2CD8" w:rsidTr="00ED7BAA">
        <w:trPr>
          <w:jc w:val="center"/>
        </w:trPr>
        <w:tc>
          <w:tcPr>
            <w:tcW w:w="4322" w:type="dxa"/>
            <w:vAlign w:val="center"/>
          </w:tcPr>
          <w:p w:rsidR="00976CAB" w:rsidRPr="00BF2CD8" w:rsidRDefault="00976CAB" w:rsidP="00BF2C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>Turismo/</w:t>
            </w:r>
          </w:p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proofErr w:type="gramStart"/>
            <w:r w:rsidRPr="00BF2CD8">
              <w:rPr>
                <w:sz w:val="24"/>
                <w:szCs w:val="24"/>
              </w:rPr>
              <w:t>ecoturismo</w:t>
            </w:r>
            <w:proofErr w:type="gramEnd"/>
            <w:r w:rsidRPr="00BF2CD8">
              <w:rPr>
                <w:sz w:val="24"/>
                <w:szCs w:val="24"/>
              </w:rPr>
              <w:t xml:space="preserve"> (normatizado e sustentável)</w:t>
            </w:r>
          </w:p>
        </w:tc>
        <w:tc>
          <w:tcPr>
            <w:tcW w:w="1440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13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76CAB" w:rsidRPr="00BF2CD8" w:rsidTr="00ED7BAA">
        <w:trPr>
          <w:jc w:val="center"/>
        </w:trPr>
        <w:tc>
          <w:tcPr>
            <w:tcW w:w="4322" w:type="dxa"/>
            <w:vAlign w:val="center"/>
          </w:tcPr>
          <w:p w:rsidR="00976CAB" w:rsidRPr="00BF2CD8" w:rsidRDefault="00976CAB" w:rsidP="00BF2C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>Educação socioambiental (com aumento de pesquisas e capacitação universitária e técnica)</w:t>
            </w:r>
          </w:p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13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10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76CAB" w:rsidRPr="00BF2CD8" w:rsidTr="00ED7BAA">
        <w:trPr>
          <w:jc w:val="center"/>
        </w:trPr>
        <w:tc>
          <w:tcPr>
            <w:tcW w:w="4322" w:type="dxa"/>
            <w:vAlign w:val="center"/>
          </w:tcPr>
          <w:p w:rsidR="00976CAB" w:rsidRPr="00BF2CD8" w:rsidRDefault="00976CAB" w:rsidP="00BF2C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 xml:space="preserve">Recursos hídricos (Monitoramento das águas da Bacia - </w:t>
            </w:r>
            <w:proofErr w:type="gramStart"/>
            <w:r w:rsidRPr="00BF2CD8">
              <w:rPr>
                <w:rFonts w:ascii="Times New Roman" w:hAnsi="Times New Roman" w:cs="Times New Roman"/>
              </w:rPr>
              <w:t>sejam</w:t>
            </w:r>
            <w:proofErr w:type="gramEnd"/>
            <w:r w:rsidRPr="00BF2CD8">
              <w:rPr>
                <w:rFonts w:ascii="Times New Roman" w:hAnsi="Times New Roman" w:cs="Times New Roman"/>
              </w:rPr>
              <w:t xml:space="preserve"> urbanas ou rurais)</w:t>
            </w:r>
          </w:p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30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24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20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76CAB" w:rsidRPr="00BF2CD8" w:rsidTr="00ED7BAA">
        <w:trPr>
          <w:jc w:val="center"/>
        </w:trPr>
        <w:tc>
          <w:tcPr>
            <w:tcW w:w="4322" w:type="dxa"/>
            <w:vAlign w:val="center"/>
          </w:tcPr>
          <w:p w:rsidR="00976CAB" w:rsidRPr="00BF2CD8" w:rsidRDefault="00976CAB" w:rsidP="00BF2C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F2CD8">
              <w:rPr>
                <w:rFonts w:ascii="Times New Roman" w:hAnsi="Times New Roman" w:cs="Times New Roman"/>
              </w:rPr>
              <w:t>Gestão dos Recursos Hídricos da Bacia do ALPA</w:t>
            </w:r>
          </w:p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30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24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sz w:val="24"/>
                <w:szCs w:val="24"/>
              </w:rPr>
            </w:pPr>
            <w:r w:rsidRPr="00BF2CD8">
              <w:rPr>
                <w:sz w:val="24"/>
                <w:szCs w:val="24"/>
              </w:rPr>
              <w:t>30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976CAB" w:rsidRPr="00BF2CD8" w:rsidTr="00ED7BAA">
        <w:trPr>
          <w:jc w:val="center"/>
        </w:trPr>
        <w:tc>
          <w:tcPr>
            <w:tcW w:w="4322" w:type="dxa"/>
            <w:vAlign w:val="center"/>
          </w:tcPr>
          <w:p w:rsidR="00976CAB" w:rsidRPr="00BF2CD8" w:rsidRDefault="00976CAB" w:rsidP="00BF2CD8">
            <w:pPr>
              <w:jc w:val="both"/>
              <w:rPr>
                <w:b/>
                <w:sz w:val="24"/>
                <w:szCs w:val="24"/>
              </w:rPr>
            </w:pPr>
            <w:r w:rsidRPr="00BF2CD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40" w:type="dxa"/>
            <w:vAlign w:val="center"/>
          </w:tcPr>
          <w:p w:rsidR="00976CAB" w:rsidRPr="00BF2CD8" w:rsidRDefault="00976CAB" w:rsidP="00BF2CD8">
            <w:pPr>
              <w:jc w:val="both"/>
              <w:rPr>
                <w:b/>
                <w:sz w:val="24"/>
                <w:szCs w:val="24"/>
              </w:rPr>
            </w:pPr>
            <w:r w:rsidRPr="00BF2CD8">
              <w:rPr>
                <w:b/>
                <w:sz w:val="24"/>
                <w:szCs w:val="24"/>
              </w:rPr>
              <w:t>100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b/>
                <w:sz w:val="24"/>
                <w:szCs w:val="24"/>
              </w:rPr>
            </w:pPr>
            <w:r w:rsidRPr="00BF2CD8">
              <w:rPr>
                <w:b/>
                <w:sz w:val="24"/>
                <w:szCs w:val="24"/>
              </w:rPr>
              <w:t>100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41" w:type="dxa"/>
            <w:vAlign w:val="center"/>
          </w:tcPr>
          <w:p w:rsidR="00976CAB" w:rsidRPr="00BF2CD8" w:rsidRDefault="00976CAB" w:rsidP="00BF2CD8">
            <w:pPr>
              <w:jc w:val="both"/>
              <w:rPr>
                <w:b/>
                <w:sz w:val="24"/>
                <w:szCs w:val="24"/>
              </w:rPr>
            </w:pPr>
            <w:r w:rsidRPr="00BF2CD8">
              <w:rPr>
                <w:b/>
                <w:sz w:val="24"/>
                <w:szCs w:val="24"/>
              </w:rPr>
              <w:t>100</w:t>
            </w:r>
            <w:r w:rsidRPr="00BF2CD8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18"/>
          <w:szCs w:val="18"/>
        </w:rPr>
      </w:pPr>
      <w:proofErr w:type="spellStart"/>
      <w:r w:rsidRPr="00BF2CD8">
        <w:rPr>
          <w:b/>
          <w:color w:val="000000" w:themeColor="text1"/>
          <w:sz w:val="18"/>
          <w:szCs w:val="18"/>
        </w:rPr>
        <w:t>Obs</w:t>
      </w:r>
      <w:proofErr w:type="spellEnd"/>
      <w:r w:rsidRPr="00BF2CD8">
        <w:rPr>
          <w:b/>
          <w:color w:val="000000" w:themeColor="text1"/>
          <w:sz w:val="18"/>
          <w:szCs w:val="18"/>
        </w:rPr>
        <w:t>: * As metas a partir do 3º poderão não ser as mesmas, visto que o Plano da Bacia do CBH-ALPA será revisado no ano de 2016.</w:t>
      </w:r>
    </w:p>
    <w:p w:rsidR="003B482D" w:rsidRPr="00BF2CD8" w:rsidRDefault="003B482D" w:rsidP="00BF2CD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2CD8">
        <w:rPr>
          <w:b/>
          <w:sz w:val="24"/>
          <w:szCs w:val="24"/>
        </w:rPr>
        <w:t>Artigo 1º - inciso XIX</w:t>
      </w:r>
      <w:r w:rsidRPr="00BF2CD8">
        <w:rPr>
          <w:b/>
          <w:i/>
          <w:sz w:val="24"/>
          <w:szCs w:val="24"/>
        </w:rPr>
        <w:t xml:space="preserve"> </w:t>
      </w:r>
      <w:r w:rsidRPr="00BF2CD8">
        <w:rPr>
          <w:sz w:val="24"/>
          <w:szCs w:val="24"/>
        </w:rPr>
        <w:t>(A estrutura existente e o desempenho da entidade responsável pela cobrança)</w:t>
      </w: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4"/>
          <w:szCs w:val="24"/>
        </w:rPr>
      </w:pPr>
    </w:p>
    <w:p w:rsidR="00BF2CD8" w:rsidRDefault="00BF2CD8" w:rsidP="00BF2CD8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right"/>
        <w:rPr>
          <w:sz w:val="24"/>
          <w:szCs w:val="24"/>
        </w:rPr>
      </w:pPr>
      <w:r w:rsidRPr="00BF2CD8">
        <w:rPr>
          <w:sz w:val="24"/>
          <w:szCs w:val="24"/>
        </w:rPr>
        <w:lastRenderedPageBreak/>
        <w:t xml:space="preserve">Folha </w:t>
      </w:r>
      <w:r>
        <w:rPr>
          <w:sz w:val="24"/>
          <w:szCs w:val="24"/>
        </w:rPr>
        <w:t>7</w:t>
      </w:r>
      <w:r w:rsidRPr="00BF2CD8">
        <w:rPr>
          <w:sz w:val="24"/>
          <w:szCs w:val="24"/>
        </w:rPr>
        <w:t>/</w:t>
      </w:r>
      <w:r>
        <w:rPr>
          <w:sz w:val="24"/>
          <w:szCs w:val="24"/>
        </w:rPr>
        <w:t>7</w:t>
      </w:r>
    </w:p>
    <w:p w:rsidR="00BF2CD8" w:rsidRDefault="00BF2CD8" w:rsidP="00BF2CD8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4"/>
          <w:szCs w:val="24"/>
        </w:rPr>
      </w:pPr>
    </w:p>
    <w:p w:rsidR="00BF2CD8" w:rsidRDefault="00BF2CD8" w:rsidP="00BF2CD8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4"/>
          <w:szCs w:val="24"/>
        </w:rPr>
      </w:pP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BF2CD8">
        <w:rPr>
          <w:b/>
          <w:color w:val="FF0000"/>
          <w:sz w:val="24"/>
          <w:szCs w:val="24"/>
        </w:rPr>
        <w:t xml:space="preserve">Resposta: </w:t>
      </w:r>
      <w:r w:rsidRPr="00BF2CD8">
        <w:rPr>
          <w:color w:val="000000" w:themeColor="text1"/>
          <w:sz w:val="24"/>
          <w:szCs w:val="24"/>
        </w:rPr>
        <w:t xml:space="preserve">conforme preceitua a Lei da Cobrança nº 12.183/2005, em seu artigo 7º, “a cobrança será realizada pela entidade responsável pela outorga de direito de uso nas Bacias Hidrográficas desprovidas de Agências de Bacias”. Como na Bacia do </w:t>
      </w:r>
      <w:proofErr w:type="gramStart"/>
      <w:r w:rsidRPr="00BF2CD8">
        <w:rPr>
          <w:color w:val="000000" w:themeColor="text1"/>
          <w:sz w:val="24"/>
          <w:szCs w:val="24"/>
        </w:rPr>
        <w:t>Alto Paranapanema</w:t>
      </w:r>
      <w:proofErr w:type="gramEnd"/>
      <w:r w:rsidRPr="00BF2CD8">
        <w:rPr>
          <w:color w:val="000000" w:themeColor="text1"/>
          <w:sz w:val="24"/>
          <w:szCs w:val="24"/>
        </w:rPr>
        <w:t xml:space="preserve"> ainda não há Agência de Bacia, será utilizada a estrutura do DAEE (Unidade de Serviços e Obras de Piraju) para a implantação da Cobrança pelo Uso da Água na UGRHI 14.</w:t>
      </w:r>
    </w:p>
    <w:p w:rsidR="00A1787E" w:rsidRPr="00BF2CD8" w:rsidRDefault="00A1787E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F2CD8">
        <w:rPr>
          <w:b/>
          <w:sz w:val="24"/>
          <w:szCs w:val="24"/>
        </w:rPr>
        <w:t>*Artigo 2º - inciso VII</w:t>
      </w:r>
      <w:r w:rsidRPr="00BF2CD8">
        <w:rPr>
          <w:sz w:val="24"/>
          <w:szCs w:val="24"/>
        </w:rPr>
        <w:t xml:space="preserve"> (A enumeração, justificativa e definição dos Coeficientes Ponderadores (CP), conforme estabelecido em legislação específica vigente).</w:t>
      </w:r>
    </w:p>
    <w:p w:rsidR="00A1787E" w:rsidRPr="00BF2CD8" w:rsidRDefault="00A1787E" w:rsidP="00BF2CD8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4"/>
          <w:szCs w:val="24"/>
        </w:rPr>
      </w:pPr>
    </w:p>
    <w:p w:rsidR="00976CAB" w:rsidRPr="00BF2CD8" w:rsidRDefault="00976CAB" w:rsidP="00BF2CD8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BF2CD8">
        <w:rPr>
          <w:b/>
          <w:color w:val="FF0000"/>
          <w:sz w:val="24"/>
          <w:szCs w:val="24"/>
        </w:rPr>
        <w:t xml:space="preserve">Resposta: </w:t>
      </w:r>
      <w:r w:rsidR="00A1787E" w:rsidRPr="00BF2CD8">
        <w:rPr>
          <w:color w:val="000000" w:themeColor="text1"/>
          <w:sz w:val="24"/>
          <w:szCs w:val="24"/>
        </w:rPr>
        <w:t>Item contemplado na pá</w:t>
      </w:r>
      <w:r w:rsidRPr="00BF2CD8">
        <w:rPr>
          <w:color w:val="000000" w:themeColor="text1"/>
          <w:sz w:val="24"/>
          <w:szCs w:val="24"/>
        </w:rPr>
        <w:t>gina 58 do caderno “Fundamentação Cobrança ALPA”.</w:t>
      </w:r>
      <w:r w:rsidR="00A1787E" w:rsidRPr="00BF2CD8">
        <w:rPr>
          <w:color w:val="000000" w:themeColor="text1"/>
          <w:sz w:val="24"/>
          <w:szCs w:val="24"/>
        </w:rPr>
        <w:t xml:space="preserve"> (Anexo II)</w:t>
      </w:r>
    </w:p>
    <w:p w:rsidR="00716B60" w:rsidRDefault="00716B60" w:rsidP="00BF2CD8">
      <w:pPr>
        <w:spacing w:line="360" w:lineRule="auto"/>
        <w:jc w:val="both"/>
        <w:rPr>
          <w:sz w:val="24"/>
          <w:szCs w:val="24"/>
        </w:rPr>
      </w:pP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BF2CD8" w:rsidRPr="00BF2CD8" w:rsidRDefault="00BF2CD8" w:rsidP="00BF2CD8">
      <w:pPr>
        <w:spacing w:line="360" w:lineRule="auto"/>
        <w:jc w:val="both"/>
        <w:rPr>
          <w:sz w:val="24"/>
          <w:szCs w:val="24"/>
        </w:rPr>
      </w:pPr>
    </w:p>
    <w:p w:rsidR="00716B60" w:rsidRPr="00BF2CD8" w:rsidRDefault="00716B60" w:rsidP="00BF2CD8">
      <w:pPr>
        <w:spacing w:line="360" w:lineRule="auto"/>
        <w:jc w:val="both"/>
        <w:rPr>
          <w:b/>
          <w:sz w:val="24"/>
          <w:szCs w:val="24"/>
        </w:rPr>
      </w:pPr>
    </w:p>
    <w:p w:rsidR="00BF2CD8" w:rsidRDefault="00BF2CD8" w:rsidP="00BF2CD8">
      <w:pPr>
        <w:spacing w:line="360" w:lineRule="auto"/>
        <w:jc w:val="both"/>
        <w:rPr>
          <w:b/>
          <w:sz w:val="24"/>
          <w:szCs w:val="24"/>
        </w:rPr>
      </w:pPr>
    </w:p>
    <w:p w:rsidR="00BF2CD8" w:rsidRDefault="00BF2CD8" w:rsidP="00BF2CD8">
      <w:pPr>
        <w:spacing w:line="360" w:lineRule="auto"/>
        <w:jc w:val="both"/>
        <w:rPr>
          <w:b/>
          <w:sz w:val="24"/>
          <w:szCs w:val="24"/>
        </w:rPr>
      </w:pPr>
    </w:p>
    <w:p w:rsidR="00BF2CD8" w:rsidRDefault="00BF2CD8" w:rsidP="00BF2CD8">
      <w:pPr>
        <w:spacing w:line="360" w:lineRule="auto"/>
        <w:jc w:val="both"/>
        <w:rPr>
          <w:b/>
          <w:sz w:val="24"/>
          <w:szCs w:val="24"/>
        </w:rPr>
      </w:pPr>
    </w:p>
    <w:sectPr w:rsidR="00BF2CD8" w:rsidSect="003B482D">
      <w:headerReference w:type="even" r:id="rId8"/>
      <w:headerReference w:type="default" r:id="rId9"/>
      <w:headerReference w:type="first" r:id="rId10"/>
      <w:pgSz w:w="11907" w:h="16840" w:code="9"/>
      <w:pgMar w:top="284" w:right="992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30E" w:rsidRDefault="002F730E">
      <w:r>
        <w:separator/>
      </w:r>
    </w:p>
  </w:endnote>
  <w:endnote w:type="continuationSeparator" w:id="0">
    <w:p w:rsidR="002F730E" w:rsidRDefault="002F7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30E" w:rsidRDefault="002F730E">
      <w:r>
        <w:separator/>
      </w:r>
    </w:p>
  </w:footnote>
  <w:footnote w:type="continuationSeparator" w:id="0">
    <w:p w:rsidR="002F730E" w:rsidRDefault="002F7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60" w:rsidRDefault="00F86C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7318" o:spid="_x0000_s28676" type="#_x0000_t75" style="position:absolute;margin-left:0;margin-top:0;width:538pt;height:299.65pt;z-index:-251657216;mso-position-horizontal:center;mso-position-horizontal-relative:margin;mso-position-vertical:center;mso-position-vertical-relative:margin" o:allowincell="f">
          <v:imagedata r:id="rId1" o:title="p013_0_01_0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60" w:rsidRPr="007B6B73" w:rsidRDefault="00716B60" w:rsidP="00533C2B">
    <w:pPr>
      <w:jc w:val="right"/>
      <w:rPr>
        <w:rFonts w:ascii="Berlin Sans FB Demi" w:hAnsi="Berlin Sans FB Demi"/>
        <w:b/>
        <w:bCs/>
        <w:sz w:val="24"/>
      </w:rPr>
    </w:pPr>
    <w:r>
      <w:rPr>
        <w:noProof/>
        <w:sz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-253852</wp:posOffset>
          </wp:positionH>
          <wp:positionV relativeFrom="paragraph">
            <wp:posOffset>-291831</wp:posOffset>
          </wp:positionV>
          <wp:extent cx="2865095" cy="1575881"/>
          <wp:effectExtent l="19050" t="0" r="0" b="0"/>
          <wp:wrapNone/>
          <wp:docPr id="3" name="Imagem 0" descr="p013_0_01_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013_0_01_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7075" cy="15824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F86C4D" w:rsidRPr="00F86C4D"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7319" o:spid="_x0000_s28677" type="#_x0000_t75" style="position:absolute;left:0;text-align:left;margin-left:0;margin-top:0;width:538pt;height:299.65pt;z-index:-251656192;mso-position-horizontal:center;mso-position-horizontal-relative:margin;mso-position-vertical:center;mso-position-vertical-relative:margin" o:allowincell="f">
          <v:imagedata r:id="rId2" o:title="p013_0_01_04" gain="19661f" blacklevel="22938f"/>
          <w10:wrap anchorx="margin" anchory="margin"/>
        </v:shape>
      </w:pict>
    </w:r>
    <w:r>
      <w:rPr>
        <w:sz w:val="24"/>
      </w:rPr>
      <w:t xml:space="preserve">          </w:t>
    </w:r>
    <w:r w:rsidRPr="007B6B73">
      <w:rPr>
        <w:rFonts w:ascii="Berlin Sans FB Demi" w:hAnsi="Berlin Sans FB Demi"/>
        <w:b/>
        <w:bCs/>
        <w:sz w:val="24"/>
      </w:rPr>
      <w:t xml:space="preserve">Comitê da Bacia Hidrográfica do </w:t>
    </w:r>
    <w:proofErr w:type="gramStart"/>
    <w:r w:rsidRPr="007B6B73">
      <w:rPr>
        <w:rFonts w:ascii="Berlin Sans FB Demi" w:hAnsi="Berlin Sans FB Demi"/>
        <w:b/>
        <w:bCs/>
        <w:sz w:val="24"/>
      </w:rPr>
      <w:t>Alto Paranapanema</w:t>
    </w:r>
    <w:proofErr w:type="gramEnd"/>
  </w:p>
  <w:p w:rsidR="00716B60" w:rsidRPr="007B6B73" w:rsidRDefault="00716B60" w:rsidP="00533C2B">
    <w:pPr>
      <w:jc w:val="right"/>
      <w:rPr>
        <w:rFonts w:ascii="Arial" w:hAnsi="Arial" w:cs="Arial"/>
        <w:sz w:val="16"/>
        <w:szCs w:val="16"/>
      </w:rPr>
    </w:pPr>
    <w:r w:rsidRPr="007B6B73">
      <w:rPr>
        <w:rFonts w:ascii="Berlin Sans FB Demi" w:hAnsi="Berlin Sans FB Demi"/>
        <w:b/>
        <w:bCs/>
        <w:sz w:val="28"/>
      </w:rPr>
      <w:t xml:space="preserve">                                                    </w:t>
    </w:r>
    <w:r w:rsidRPr="007B6B73">
      <w:rPr>
        <w:rFonts w:ascii="Arial" w:hAnsi="Arial" w:cs="Arial"/>
        <w:bCs/>
        <w:sz w:val="28"/>
      </w:rPr>
      <w:t xml:space="preserve"> </w:t>
    </w:r>
    <w:r w:rsidRPr="007B6B73">
      <w:rPr>
        <w:rFonts w:ascii="Arial" w:hAnsi="Arial" w:cs="Arial"/>
        <w:bCs/>
        <w:sz w:val="16"/>
        <w:szCs w:val="16"/>
      </w:rPr>
      <w:t xml:space="preserve">Secretaria Executiva </w:t>
    </w:r>
    <w:r w:rsidRPr="007B6B73">
      <w:rPr>
        <w:rFonts w:ascii="Arial" w:hAnsi="Arial" w:cs="Arial"/>
        <w:sz w:val="16"/>
        <w:szCs w:val="16"/>
      </w:rPr>
      <w:t>Av. São Sebastião, 125</w:t>
    </w:r>
    <w:proofErr w:type="gramStart"/>
    <w:r w:rsidRPr="007B6B73">
      <w:rPr>
        <w:rFonts w:ascii="Arial" w:hAnsi="Arial" w:cs="Arial"/>
        <w:sz w:val="16"/>
        <w:szCs w:val="16"/>
      </w:rPr>
      <w:t xml:space="preserve">  </w:t>
    </w:r>
    <w:proofErr w:type="gramEnd"/>
    <w:r w:rsidRPr="007B6B73">
      <w:rPr>
        <w:rFonts w:ascii="Arial" w:hAnsi="Arial" w:cs="Arial"/>
        <w:sz w:val="16"/>
        <w:szCs w:val="16"/>
      </w:rPr>
      <w:t>Piraju  SP  - CEP 18 800 - 000</w:t>
    </w:r>
  </w:p>
  <w:p w:rsidR="00716B60" w:rsidRDefault="00716B60" w:rsidP="00533C2B">
    <w:pPr>
      <w:pStyle w:val="Cabealho"/>
      <w:tabs>
        <w:tab w:val="left" w:pos="1860"/>
      </w:tabs>
      <w:jc w:val="right"/>
      <w:rPr>
        <w:rFonts w:ascii="Arial" w:hAnsi="Arial" w:cs="Arial"/>
        <w:sz w:val="16"/>
        <w:szCs w:val="16"/>
      </w:rPr>
    </w:pPr>
    <w:r w:rsidRPr="007B6B73">
      <w:rPr>
        <w:rFonts w:ascii="Arial" w:hAnsi="Arial" w:cs="Arial"/>
        <w:sz w:val="16"/>
        <w:szCs w:val="16"/>
      </w:rPr>
      <w:t xml:space="preserve">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</w:t>
    </w:r>
    <w:r w:rsidRPr="007B6B73">
      <w:rPr>
        <w:rFonts w:ascii="Arial" w:hAnsi="Arial" w:cs="Arial"/>
        <w:sz w:val="16"/>
        <w:szCs w:val="16"/>
      </w:rPr>
      <w:t>Fone (14) 3</w:t>
    </w:r>
    <w:r>
      <w:rPr>
        <w:rFonts w:ascii="Arial" w:hAnsi="Arial" w:cs="Arial"/>
        <w:sz w:val="16"/>
        <w:szCs w:val="16"/>
      </w:rPr>
      <w:t>35</w:t>
    </w:r>
    <w:r w:rsidRPr="007B6B73">
      <w:rPr>
        <w:rFonts w:ascii="Arial" w:hAnsi="Arial" w:cs="Arial"/>
        <w:sz w:val="16"/>
        <w:szCs w:val="16"/>
      </w:rPr>
      <w:t>1- 2599</w:t>
    </w:r>
    <w:proofErr w:type="gramStart"/>
    <w:r>
      <w:rPr>
        <w:rFonts w:ascii="Arial" w:hAnsi="Arial" w:cs="Arial"/>
        <w:sz w:val="16"/>
        <w:szCs w:val="16"/>
      </w:rPr>
      <w:t xml:space="preserve"> </w:t>
    </w:r>
    <w:r w:rsidRPr="007B6B73">
      <w:rPr>
        <w:rFonts w:ascii="Arial" w:hAnsi="Arial" w:cs="Arial"/>
        <w:sz w:val="16"/>
        <w:szCs w:val="16"/>
      </w:rPr>
      <w:t xml:space="preserve"> </w:t>
    </w:r>
    <w:proofErr w:type="gramEnd"/>
    <w:r w:rsidRPr="007B6B73">
      <w:rPr>
        <w:rFonts w:ascii="Arial" w:hAnsi="Arial" w:cs="Arial"/>
        <w:sz w:val="16"/>
        <w:szCs w:val="16"/>
      </w:rPr>
      <w:t>email:</w:t>
    </w:r>
    <w:r>
      <w:rPr>
        <w:rFonts w:ascii="Arial" w:hAnsi="Arial" w:cs="Arial"/>
        <w:sz w:val="16"/>
        <w:szCs w:val="16"/>
      </w:rPr>
      <w:t xml:space="preserve"> </w:t>
    </w:r>
    <w:hyperlink r:id="rId3" w:history="1">
      <w:r w:rsidRPr="008C1786">
        <w:rPr>
          <w:rStyle w:val="Hyperlink"/>
          <w:rFonts w:ascii="Arial" w:hAnsi="Arial" w:cs="Arial"/>
          <w:sz w:val="16"/>
          <w:szCs w:val="16"/>
        </w:rPr>
        <w:t>secretaria@comitealpa.com</w:t>
      </w:r>
    </w:hyperlink>
    <w:r>
      <w:rPr>
        <w:rFonts w:ascii="Arial" w:hAnsi="Arial" w:cs="Arial"/>
        <w:sz w:val="16"/>
        <w:szCs w:val="16"/>
      </w:rPr>
      <w:t xml:space="preserve"> </w:t>
    </w:r>
  </w:p>
  <w:p w:rsidR="00716B60" w:rsidRPr="007B6B73" w:rsidRDefault="00716B60" w:rsidP="00533C2B">
    <w:pPr>
      <w:pStyle w:val="Cabealho"/>
      <w:tabs>
        <w:tab w:val="left" w:pos="1860"/>
      </w:tabs>
      <w:jc w:val="right"/>
      <w:rPr>
        <w:rFonts w:ascii="Arial" w:hAnsi="Arial" w:cs="Arial"/>
        <w:sz w:val="16"/>
        <w:szCs w:val="16"/>
      </w:rPr>
    </w:pPr>
    <w:r w:rsidRPr="007B6B73">
      <w:rPr>
        <w:rFonts w:ascii="Arial" w:hAnsi="Arial" w:cs="Arial"/>
        <w:sz w:val="16"/>
        <w:szCs w:val="16"/>
      </w:rPr>
      <w:t xml:space="preserve"> </w:t>
    </w:r>
    <w:hyperlink r:id="rId4" w:history="1">
      <w:r w:rsidRPr="007B6B73">
        <w:rPr>
          <w:rStyle w:val="Hyperlink"/>
          <w:rFonts w:ascii="Arial" w:hAnsi="Arial" w:cs="Arial"/>
          <w:sz w:val="16"/>
          <w:szCs w:val="16"/>
        </w:rPr>
        <w:t>comitealpa@cednet.com.br</w:t>
      </w:r>
    </w:hyperlink>
  </w:p>
  <w:p w:rsidR="00716B60" w:rsidRDefault="00716B60" w:rsidP="00533C2B">
    <w:pPr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60" w:rsidRDefault="00F86C4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7317" o:spid="_x0000_s28675" type="#_x0000_t75" style="position:absolute;margin-left:0;margin-top:0;width:538pt;height:299.65pt;z-index:-251658240;mso-position-horizontal:center;mso-position-horizontal-relative:margin;mso-position-vertical:center;mso-position-vertical-relative:margin" o:allowincell="f">
          <v:imagedata r:id="rId1" o:title="p013_0_01_0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5pt;height:10.85pt" o:bullet="t">
        <v:imagedata r:id="rId1" o:title="BD15168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CD577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501B19"/>
    <w:multiLevelType w:val="singleLevel"/>
    <w:tmpl w:val="781A1C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E463F56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>
    <w:nsid w:val="2D3F0B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442364"/>
    <w:multiLevelType w:val="hybridMultilevel"/>
    <w:tmpl w:val="BA0259FC"/>
    <w:lvl w:ilvl="0" w:tplc="0416000F">
      <w:start w:val="1"/>
      <w:numFmt w:val="decimal"/>
      <w:lvlText w:val="%1."/>
      <w:lvlJc w:val="left"/>
      <w:pPr>
        <w:ind w:left="1609" w:hanging="360"/>
      </w:pPr>
    </w:lvl>
    <w:lvl w:ilvl="1" w:tplc="04160019" w:tentative="1">
      <w:start w:val="1"/>
      <w:numFmt w:val="lowerLetter"/>
      <w:lvlText w:val="%2."/>
      <w:lvlJc w:val="left"/>
      <w:pPr>
        <w:ind w:left="2329" w:hanging="360"/>
      </w:pPr>
    </w:lvl>
    <w:lvl w:ilvl="2" w:tplc="0416001B" w:tentative="1">
      <w:start w:val="1"/>
      <w:numFmt w:val="lowerRoman"/>
      <w:lvlText w:val="%3."/>
      <w:lvlJc w:val="right"/>
      <w:pPr>
        <w:ind w:left="3049" w:hanging="180"/>
      </w:pPr>
    </w:lvl>
    <w:lvl w:ilvl="3" w:tplc="0416000F" w:tentative="1">
      <w:start w:val="1"/>
      <w:numFmt w:val="decimal"/>
      <w:lvlText w:val="%4."/>
      <w:lvlJc w:val="left"/>
      <w:pPr>
        <w:ind w:left="3769" w:hanging="360"/>
      </w:pPr>
    </w:lvl>
    <w:lvl w:ilvl="4" w:tplc="04160019" w:tentative="1">
      <w:start w:val="1"/>
      <w:numFmt w:val="lowerLetter"/>
      <w:lvlText w:val="%5."/>
      <w:lvlJc w:val="left"/>
      <w:pPr>
        <w:ind w:left="4489" w:hanging="360"/>
      </w:pPr>
    </w:lvl>
    <w:lvl w:ilvl="5" w:tplc="0416001B" w:tentative="1">
      <w:start w:val="1"/>
      <w:numFmt w:val="lowerRoman"/>
      <w:lvlText w:val="%6."/>
      <w:lvlJc w:val="right"/>
      <w:pPr>
        <w:ind w:left="5209" w:hanging="180"/>
      </w:pPr>
    </w:lvl>
    <w:lvl w:ilvl="6" w:tplc="0416000F" w:tentative="1">
      <w:start w:val="1"/>
      <w:numFmt w:val="decimal"/>
      <w:lvlText w:val="%7."/>
      <w:lvlJc w:val="left"/>
      <w:pPr>
        <w:ind w:left="5929" w:hanging="360"/>
      </w:pPr>
    </w:lvl>
    <w:lvl w:ilvl="7" w:tplc="04160019" w:tentative="1">
      <w:start w:val="1"/>
      <w:numFmt w:val="lowerLetter"/>
      <w:lvlText w:val="%8."/>
      <w:lvlJc w:val="left"/>
      <w:pPr>
        <w:ind w:left="6649" w:hanging="360"/>
      </w:pPr>
    </w:lvl>
    <w:lvl w:ilvl="8" w:tplc="0416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6">
    <w:nsid w:val="33C07CC0"/>
    <w:multiLevelType w:val="hybridMultilevel"/>
    <w:tmpl w:val="27E83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86DDD"/>
    <w:multiLevelType w:val="hybridMultilevel"/>
    <w:tmpl w:val="32B24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54591"/>
    <w:multiLevelType w:val="singleLevel"/>
    <w:tmpl w:val="FB28C20C"/>
    <w:lvl w:ilvl="0">
      <w:start w:val="16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9">
    <w:nsid w:val="428237D5"/>
    <w:multiLevelType w:val="hybridMultilevel"/>
    <w:tmpl w:val="5B3C78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8252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4ACE09E5"/>
    <w:multiLevelType w:val="multilevel"/>
    <w:tmpl w:val="8B747A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4D1905FF"/>
    <w:multiLevelType w:val="hybridMultilevel"/>
    <w:tmpl w:val="0DD60EE4"/>
    <w:lvl w:ilvl="0" w:tplc="D360C884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7F34EB"/>
    <w:multiLevelType w:val="singleLevel"/>
    <w:tmpl w:val="A8C419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504D5790"/>
    <w:multiLevelType w:val="hybridMultilevel"/>
    <w:tmpl w:val="D6284EAA"/>
    <w:lvl w:ilvl="0" w:tplc="3E1ABE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B2BB5"/>
    <w:multiLevelType w:val="hybridMultilevel"/>
    <w:tmpl w:val="182EF4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25897"/>
    <w:multiLevelType w:val="hybridMultilevel"/>
    <w:tmpl w:val="F71A2C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6A0DCE"/>
    <w:multiLevelType w:val="hybridMultilevel"/>
    <w:tmpl w:val="755E0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21983"/>
    <w:multiLevelType w:val="hybridMultilevel"/>
    <w:tmpl w:val="FE00E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"/>
  </w:num>
  <w:num w:numId="4">
    <w:abstractNumId w:val="13"/>
  </w:num>
  <w:num w:numId="5">
    <w:abstractNumId w:val="4"/>
  </w:num>
  <w:num w:numId="6">
    <w:abstractNumId w:val="1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5"/>
  </w:num>
  <w:num w:numId="11">
    <w:abstractNumId w:val="10"/>
  </w:num>
  <w:num w:numId="12">
    <w:abstractNumId w:val="3"/>
  </w:num>
  <w:num w:numId="13">
    <w:abstractNumId w:val="1"/>
  </w:num>
  <w:num w:numId="14">
    <w:abstractNumId w:val="14"/>
  </w:num>
  <w:num w:numId="15">
    <w:abstractNumId w:val="7"/>
  </w:num>
  <w:num w:numId="16">
    <w:abstractNumId w:val="17"/>
  </w:num>
  <w:num w:numId="17">
    <w:abstractNumId w:val="6"/>
  </w:num>
  <w:num w:numId="18">
    <w:abstractNumId w:val="18"/>
  </w:num>
  <w:num w:numId="19">
    <w:abstractNumId w:val="11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8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9D4680"/>
    <w:rsid w:val="00003071"/>
    <w:rsid w:val="00015520"/>
    <w:rsid w:val="00016556"/>
    <w:rsid w:val="0002351C"/>
    <w:rsid w:val="0002636E"/>
    <w:rsid w:val="00031957"/>
    <w:rsid w:val="000401E2"/>
    <w:rsid w:val="00045985"/>
    <w:rsid w:val="00046BBA"/>
    <w:rsid w:val="000540CF"/>
    <w:rsid w:val="0007365A"/>
    <w:rsid w:val="00074396"/>
    <w:rsid w:val="00083133"/>
    <w:rsid w:val="00084015"/>
    <w:rsid w:val="000869EA"/>
    <w:rsid w:val="00094436"/>
    <w:rsid w:val="000A3B19"/>
    <w:rsid w:val="000A7D3F"/>
    <w:rsid w:val="000B37B4"/>
    <w:rsid w:val="000B6BDA"/>
    <w:rsid w:val="000C0AA8"/>
    <w:rsid w:val="000C4B70"/>
    <w:rsid w:val="000D3F9D"/>
    <w:rsid w:val="000D63BD"/>
    <w:rsid w:val="000E0196"/>
    <w:rsid w:val="000E174F"/>
    <w:rsid w:val="000E493F"/>
    <w:rsid w:val="000E5961"/>
    <w:rsid w:val="000E601F"/>
    <w:rsid w:val="000E7AEC"/>
    <w:rsid w:val="000F2507"/>
    <w:rsid w:val="000F7EDF"/>
    <w:rsid w:val="001255B9"/>
    <w:rsid w:val="00126BDA"/>
    <w:rsid w:val="001324DA"/>
    <w:rsid w:val="0015029D"/>
    <w:rsid w:val="001518CA"/>
    <w:rsid w:val="00157C5E"/>
    <w:rsid w:val="00165BFB"/>
    <w:rsid w:val="001664AF"/>
    <w:rsid w:val="001705AB"/>
    <w:rsid w:val="001754CB"/>
    <w:rsid w:val="00183E86"/>
    <w:rsid w:val="0018430C"/>
    <w:rsid w:val="00190C2D"/>
    <w:rsid w:val="001B5AAE"/>
    <w:rsid w:val="001D3AD5"/>
    <w:rsid w:val="001E109B"/>
    <w:rsid w:val="001E10A0"/>
    <w:rsid w:val="00200728"/>
    <w:rsid w:val="00203B43"/>
    <w:rsid w:val="00223A2C"/>
    <w:rsid w:val="002243CC"/>
    <w:rsid w:val="00230143"/>
    <w:rsid w:val="002319BC"/>
    <w:rsid w:val="00231C15"/>
    <w:rsid w:val="002366CC"/>
    <w:rsid w:val="00236AB1"/>
    <w:rsid w:val="002427A9"/>
    <w:rsid w:val="0024331A"/>
    <w:rsid w:val="00267572"/>
    <w:rsid w:val="00275F34"/>
    <w:rsid w:val="00282CF6"/>
    <w:rsid w:val="00284C97"/>
    <w:rsid w:val="00295061"/>
    <w:rsid w:val="00295FE9"/>
    <w:rsid w:val="002B0569"/>
    <w:rsid w:val="002B1060"/>
    <w:rsid w:val="002B370F"/>
    <w:rsid w:val="002B3FCB"/>
    <w:rsid w:val="002D0A9E"/>
    <w:rsid w:val="002D178D"/>
    <w:rsid w:val="002D3820"/>
    <w:rsid w:val="002D4070"/>
    <w:rsid w:val="002D6677"/>
    <w:rsid w:val="002F730E"/>
    <w:rsid w:val="003018BB"/>
    <w:rsid w:val="00311497"/>
    <w:rsid w:val="003150A7"/>
    <w:rsid w:val="00316AAE"/>
    <w:rsid w:val="00316BC9"/>
    <w:rsid w:val="0032017F"/>
    <w:rsid w:val="0033010D"/>
    <w:rsid w:val="00331DAB"/>
    <w:rsid w:val="0033482C"/>
    <w:rsid w:val="00342406"/>
    <w:rsid w:val="0034562B"/>
    <w:rsid w:val="00347B29"/>
    <w:rsid w:val="00352D1B"/>
    <w:rsid w:val="00386A59"/>
    <w:rsid w:val="00386C1F"/>
    <w:rsid w:val="003935E3"/>
    <w:rsid w:val="00397485"/>
    <w:rsid w:val="003B0C92"/>
    <w:rsid w:val="003B482D"/>
    <w:rsid w:val="003B7E99"/>
    <w:rsid w:val="003C1046"/>
    <w:rsid w:val="003D3524"/>
    <w:rsid w:val="003F1F76"/>
    <w:rsid w:val="00405C01"/>
    <w:rsid w:val="00407B24"/>
    <w:rsid w:val="0041088D"/>
    <w:rsid w:val="00420D14"/>
    <w:rsid w:val="00431815"/>
    <w:rsid w:val="00431DB0"/>
    <w:rsid w:val="00437F57"/>
    <w:rsid w:val="004525D3"/>
    <w:rsid w:val="00460744"/>
    <w:rsid w:val="0046101D"/>
    <w:rsid w:val="0046680B"/>
    <w:rsid w:val="00467CB2"/>
    <w:rsid w:val="004936D4"/>
    <w:rsid w:val="00495C65"/>
    <w:rsid w:val="004A6483"/>
    <w:rsid w:val="004A7578"/>
    <w:rsid w:val="004B22C3"/>
    <w:rsid w:val="004B38C2"/>
    <w:rsid w:val="004B60AB"/>
    <w:rsid w:val="004C1E46"/>
    <w:rsid w:val="004C7CC1"/>
    <w:rsid w:val="004D2CC8"/>
    <w:rsid w:val="004D35BE"/>
    <w:rsid w:val="004E45C6"/>
    <w:rsid w:val="004F2960"/>
    <w:rsid w:val="004F6BF1"/>
    <w:rsid w:val="00500D52"/>
    <w:rsid w:val="0050215B"/>
    <w:rsid w:val="00505A1D"/>
    <w:rsid w:val="00507893"/>
    <w:rsid w:val="00512E00"/>
    <w:rsid w:val="005209AB"/>
    <w:rsid w:val="00533C2B"/>
    <w:rsid w:val="005342F4"/>
    <w:rsid w:val="00541797"/>
    <w:rsid w:val="00542612"/>
    <w:rsid w:val="00542B97"/>
    <w:rsid w:val="00546E71"/>
    <w:rsid w:val="005670F5"/>
    <w:rsid w:val="005845F1"/>
    <w:rsid w:val="005927AF"/>
    <w:rsid w:val="005A28A8"/>
    <w:rsid w:val="005A2AAF"/>
    <w:rsid w:val="005A4749"/>
    <w:rsid w:val="005B0415"/>
    <w:rsid w:val="005B506F"/>
    <w:rsid w:val="005C7396"/>
    <w:rsid w:val="005D1483"/>
    <w:rsid w:val="005D2B3D"/>
    <w:rsid w:val="005D41F1"/>
    <w:rsid w:val="005D7F7F"/>
    <w:rsid w:val="005E3C0A"/>
    <w:rsid w:val="005E66F0"/>
    <w:rsid w:val="005E6CE3"/>
    <w:rsid w:val="005F2B37"/>
    <w:rsid w:val="00601508"/>
    <w:rsid w:val="006032FC"/>
    <w:rsid w:val="00603703"/>
    <w:rsid w:val="00607468"/>
    <w:rsid w:val="006145A2"/>
    <w:rsid w:val="00615A48"/>
    <w:rsid w:val="00615E2D"/>
    <w:rsid w:val="00623EB3"/>
    <w:rsid w:val="006249A4"/>
    <w:rsid w:val="0062578E"/>
    <w:rsid w:val="006339FF"/>
    <w:rsid w:val="00634DEE"/>
    <w:rsid w:val="00635C5C"/>
    <w:rsid w:val="00636485"/>
    <w:rsid w:val="0064745B"/>
    <w:rsid w:val="00647524"/>
    <w:rsid w:val="00656810"/>
    <w:rsid w:val="006620E0"/>
    <w:rsid w:val="00692FE0"/>
    <w:rsid w:val="00693198"/>
    <w:rsid w:val="006A4BBD"/>
    <w:rsid w:val="006B2AA9"/>
    <w:rsid w:val="006B479C"/>
    <w:rsid w:val="006C5BD5"/>
    <w:rsid w:val="006D7E09"/>
    <w:rsid w:val="006E2267"/>
    <w:rsid w:val="006E43C7"/>
    <w:rsid w:val="006E4D3C"/>
    <w:rsid w:val="006E58F8"/>
    <w:rsid w:val="006F0350"/>
    <w:rsid w:val="006F0479"/>
    <w:rsid w:val="006F0F89"/>
    <w:rsid w:val="00703071"/>
    <w:rsid w:val="0070554D"/>
    <w:rsid w:val="0071007D"/>
    <w:rsid w:val="007167A1"/>
    <w:rsid w:val="00716B60"/>
    <w:rsid w:val="0072494A"/>
    <w:rsid w:val="00733C8B"/>
    <w:rsid w:val="00757D1E"/>
    <w:rsid w:val="00757EE3"/>
    <w:rsid w:val="00764975"/>
    <w:rsid w:val="00775E00"/>
    <w:rsid w:val="00777430"/>
    <w:rsid w:val="007A72A3"/>
    <w:rsid w:val="007B6B73"/>
    <w:rsid w:val="007C4BE2"/>
    <w:rsid w:val="007D0051"/>
    <w:rsid w:val="007D02B7"/>
    <w:rsid w:val="007F2CE7"/>
    <w:rsid w:val="00800FEA"/>
    <w:rsid w:val="00802C78"/>
    <w:rsid w:val="008100E3"/>
    <w:rsid w:val="0081619B"/>
    <w:rsid w:val="00816601"/>
    <w:rsid w:val="00816C06"/>
    <w:rsid w:val="00817816"/>
    <w:rsid w:val="00817E34"/>
    <w:rsid w:val="00826092"/>
    <w:rsid w:val="008338B3"/>
    <w:rsid w:val="00841CEE"/>
    <w:rsid w:val="0084570F"/>
    <w:rsid w:val="00845EC7"/>
    <w:rsid w:val="00851195"/>
    <w:rsid w:val="008644E2"/>
    <w:rsid w:val="00872ABF"/>
    <w:rsid w:val="00876B7D"/>
    <w:rsid w:val="00877675"/>
    <w:rsid w:val="00881053"/>
    <w:rsid w:val="008A16F1"/>
    <w:rsid w:val="008A1E9A"/>
    <w:rsid w:val="008A3BFB"/>
    <w:rsid w:val="008A45FA"/>
    <w:rsid w:val="008C07A3"/>
    <w:rsid w:val="008C37E8"/>
    <w:rsid w:val="008C3F6F"/>
    <w:rsid w:val="008C66CC"/>
    <w:rsid w:val="008D0222"/>
    <w:rsid w:val="008D0467"/>
    <w:rsid w:val="008D25EF"/>
    <w:rsid w:val="008E4254"/>
    <w:rsid w:val="008E5B52"/>
    <w:rsid w:val="008E5F77"/>
    <w:rsid w:val="009023B3"/>
    <w:rsid w:val="00904E99"/>
    <w:rsid w:val="009170DE"/>
    <w:rsid w:val="00924D44"/>
    <w:rsid w:val="0092593B"/>
    <w:rsid w:val="00927A93"/>
    <w:rsid w:val="00955DC6"/>
    <w:rsid w:val="00960C38"/>
    <w:rsid w:val="0096220B"/>
    <w:rsid w:val="00964B37"/>
    <w:rsid w:val="009663E7"/>
    <w:rsid w:val="0097468F"/>
    <w:rsid w:val="00976CAB"/>
    <w:rsid w:val="00986CDB"/>
    <w:rsid w:val="009963A4"/>
    <w:rsid w:val="009A36CD"/>
    <w:rsid w:val="009A3865"/>
    <w:rsid w:val="009A4D0C"/>
    <w:rsid w:val="009A643F"/>
    <w:rsid w:val="009B5CCB"/>
    <w:rsid w:val="009B7966"/>
    <w:rsid w:val="009D4680"/>
    <w:rsid w:val="009D7572"/>
    <w:rsid w:val="009F5957"/>
    <w:rsid w:val="00A00231"/>
    <w:rsid w:val="00A058AC"/>
    <w:rsid w:val="00A1140B"/>
    <w:rsid w:val="00A1494B"/>
    <w:rsid w:val="00A1787E"/>
    <w:rsid w:val="00A2268A"/>
    <w:rsid w:val="00A33A4B"/>
    <w:rsid w:val="00A36A8B"/>
    <w:rsid w:val="00A4475B"/>
    <w:rsid w:val="00A55B33"/>
    <w:rsid w:val="00A63BB9"/>
    <w:rsid w:val="00A80731"/>
    <w:rsid w:val="00A80C97"/>
    <w:rsid w:val="00A80FAF"/>
    <w:rsid w:val="00A82FC1"/>
    <w:rsid w:val="00A910A7"/>
    <w:rsid w:val="00A93D67"/>
    <w:rsid w:val="00AA1B5C"/>
    <w:rsid w:val="00AB4418"/>
    <w:rsid w:val="00AB77B5"/>
    <w:rsid w:val="00AC4546"/>
    <w:rsid w:val="00AD5E72"/>
    <w:rsid w:val="00AE0FE9"/>
    <w:rsid w:val="00AE4B01"/>
    <w:rsid w:val="00AE6BDE"/>
    <w:rsid w:val="00AF05CA"/>
    <w:rsid w:val="00AF70F2"/>
    <w:rsid w:val="00B15425"/>
    <w:rsid w:val="00B16A61"/>
    <w:rsid w:val="00B17E83"/>
    <w:rsid w:val="00B24B06"/>
    <w:rsid w:val="00B41C4E"/>
    <w:rsid w:val="00B75040"/>
    <w:rsid w:val="00B80D0E"/>
    <w:rsid w:val="00B87BCA"/>
    <w:rsid w:val="00B92631"/>
    <w:rsid w:val="00BA54A6"/>
    <w:rsid w:val="00BA56A2"/>
    <w:rsid w:val="00BA5CAD"/>
    <w:rsid w:val="00BB21C1"/>
    <w:rsid w:val="00BB74B4"/>
    <w:rsid w:val="00BC234F"/>
    <w:rsid w:val="00BC79DF"/>
    <w:rsid w:val="00BD471B"/>
    <w:rsid w:val="00BD57A5"/>
    <w:rsid w:val="00BE16EB"/>
    <w:rsid w:val="00BE557F"/>
    <w:rsid w:val="00BE6981"/>
    <w:rsid w:val="00BE788C"/>
    <w:rsid w:val="00BF0319"/>
    <w:rsid w:val="00BF2CD8"/>
    <w:rsid w:val="00C02891"/>
    <w:rsid w:val="00C07614"/>
    <w:rsid w:val="00C2268D"/>
    <w:rsid w:val="00C232E9"/>
    <w:rsid w:val="00C31520"/>
    <w:rsid w:val="00C34422"/>
    <w:rsid w:val="00C34479"/>
    <w:rsid w:val="00C37E31"/>
    <w:rsid w:val="00C44FAC"/>
    <w:rsid w:val="00C554E8"/>
    <w:rsid w:val="00C62F0F"/>
    <w:rsid w:val="00C82F82"/>
    <w:rsid w:val="00C937A6"/>
    <w:rsid w:val="00C946B0"/>
    <w:rsid w:val="00CA2BA4"/>
    <w:rsid w:val="00CB1FAC"/>
    <w:rsid w:val="00CB7787"/>
    <w:rsid w:val="00CC1EBA"/>
    <w:rsid w:val="00CC2AF6"/>
    <w:rsid w:val="00CC5978"/>
    <w:rsid w:val="00CC78E0"/>
    <w:rsid w:val="00CD06D1"/>
    <w:rsid w:val="00CD3387"/>
    <w:rsid w:val="00CD47F9"/>
    <w:rsid w:val="00CD48FC"/>
    <w:rsid w:val="00CD4D2E"/>
    <w:rsid w:val="00CD56B9"/>
    <w:rsid w:val="00CD5980"/>
    <w:rsid w:val="00CE0D63"/>
    <w:rsid w:val="00CE3D57"/>
    <w:rsid w:val="00CE76B7"/>
    <w:rsid w:val="00CF52E9"/>
    <w:rsid w:val="00D06F63"/>
    <w:rsid w:val="00D2209F"/>
    <w:rsid w:val="00D22A33"/>
    <w:rsid w:val="00D23D79"/>
    <w:rsid w:val="00D23E25"/>
    <w:rsid w:val="00D373FD"/>
    <w:rsid w:val="00D41548"/>
    <w:rsid w:val="00D45786"/>
    <w:rsid w:val="00D52B9E"/>
    <w:rsid w:val="00D61D2B"/>
    <w:rsid w:val="00D64B86"/>
    <w:rsid w:val="00D84669"/>
    <w:rsid w:val="00D84DC2"/>
    <w:rsid w:val="00D918B2"/>
    <w:rsid w:val="00D93CD3"/>
    <w:rsid w:val="00DA15CB"/>
    <w:rsid w:val="00DA6537"/>
    <w:rsid w:val="00DB3B51"/>
    <w:rsid w:val="00DB3E9B"/>
    <w:rsid w:val="00DB675E"/>
    <w:rsid w:val="00DB7E4C"/>
    <w:rsid w:val="00DD0AC4"/>
    <w:rsid w:val="00DD5931"/>
    <w:rsid w:val="00DE0060"/>
    <w:rsid w:val="00DE5F67"/>
    <w:rsid w:val="00DE7528"/>
    <w:rsid w:val="00DF6816"/>
    <w:rsid w:val="00E001A5"/>
    <w:rsid w:val="00E1156C"/>
    <w:rsid w:val="00E218DA"/>
    <w:rsid w:val="00E21D66"/>
    <w:rsid w:val="00E31545"/>
    <w:rsid w:val="00E46E55"/>
    <w:rsid w:val="00E47AEE"/>
    <w:rsid w:val="00E56B00"/>
    <w:rsid w:val="00E60DE9"/>
    <w:rsid w:val="00E61E2F"/>
    <w:rsid w:val="00E62069"/>
    <w:rsid w:val="00E67961"/>
    <w:rsid w:val="00E70D85"/>
    <w:rsid w:val="00E719F1"/>
    <w:rsid w:val="00E72111"/>
    <w:rsid w:val="00E80911"/>
    <w:rsid w:val="00E87AAD"/>
    <w:rsid w:val="00EA3138"/>
    <w:rsid w:val="00EB1509"/>
    <w:rsid w:val="00EB48C5"/>
    <w:rsid w:val="00EB68DA"/>
    <w:rsid w:val="00EC466A"/>
    <w:rsid w:val="00ED6179"/>
    <w:rsid w:val="00ED7BAA"/>
    <w:rsid w:val="00EE147B"/>
    <w:rsid w:val="00EE5D1F"/>
    <w:rsid w:val="00EF1660"/>
    <w:rsid w:val="00EF2B62"/>
    <w:rsid w:val="00EF51F1"/>
    <w:rsid w:val="00EF7907"/>
    <w:rsid w:val="00EF7A9C"/>
    <w:rsid w:val="00F01F5D"/>
    <w:rsid w:val="00F068EF"/>
    <w:rsid w:val="00F22113"/>
    <w:rsid w:val="00F25466"/>
    <w:rsid w:val="00F260D8"/>
    <w:rsid w:val="00F278E1"/>
    <w:rsid w:val="00F30604"/>
    <w:rsid w:val="00F33DCD"/>
    <w:rsid w:val="00F46585"/>
    <w:rsid w:val="00F66721"/>
    <w:rsid w:val="00F86C4D"/>
    <w:rsid w:val="00F87590"/>
    <w:rsid w:val="00F875F9"/>
    <w:rsid w:val="00F949CD"/>
    <w:rsid w:val="00FA14F4"/>
    <w:rsid w:val="00FA6AF5"/>
    <w:rsid w:val="00FB48CC"/>
    <w:rsid w:val="00FC0A6F"/>
    <w:rsid w:val="00FC0D5F"/>
    <w:rsid w:val="00FC544E"/>
    <w:rsid w:val="00FC622A"/>
    <w:rsid w:val="00FE28A7"/>
    <w:rsid w:val="00FE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010D"/>
  </w:style>
  <w:style w:type="paragraph" w:styleId="Ttulo1">
    <w:name w:val="heading 1"/>
    <w:basedOn w:val="Normal"/>
    <w:next w:val="Normal"/>
    <w:qFormat/>
    <w:rsid w:val="0033010D"/>
    <w:pPr>
      <w:keepNext/>
      <w:numPr>
        <w:numId w:val="12"/>
      </w:numPr>
      <w:ind w:right="760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33010D"/>
    <w:pPr>
      <w:keepNext/>
      <w:numPr>
        <w:ilvl w:val="1"/>
        <w:numId w:val="12"/>
      </w:numPr>
      <w:ind w:right="76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33010D"/>
    <w:pPr>
      <w:keepNext/>
      <w:numPr>
        <w:ilvl w:val="2"/>
        <w:numId w:val="12"/>
      </w:numPr>
      <w:ind w:right="760"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qFormat/>
    <w:rsid w:val="0033010D"/>
    <w:pPr>
      <w:keepNext/>
      <w:numPr>
        <w:ilvl w:val="3"/>
        <w:numId w:val="12"/>
      </w:numPr>
      <w:ind w:right="760"/>
      <w:outlineLvl w:val="3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95061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295061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95061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95061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A7D3F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010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3010D"/>
    <w:pPr>
      <w:tabs>
        <w:tab w:val="center" w:pos="4320"/>
        <w:tab w:val="right" w:pos="8640"/>
      </w:tabs>
    </w:pPr>
  </w:style>
  <w:style w:type="paragraph" w:styleId="Textoembloco">
    <w:name w:val="Block Text"/>
    <w:basedOn w:val="Normal"/>
    <w:rsid w:val="0033010D"/>
    <w:pPr>
      <w:spacing w:line="360" w:lineRule="auto"/>
      <w:ind w:left="709" w:right="760" w:firstLine="2121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157C5E"/>
    <w:pPr>
      <w:ind w:left="4253" w:hanging="4253"/>
      <w:jc w:val="both"/>
    </w:pPr>
    <w:rPr>
      <w:rFonts w:ascii="Arial" w:hAnsi="Arial"/>
      <w:b/>
    </w:rPr>
  </w:style>
  <w:style w:type="paragraph" w:styleId="Recuodecorpodetexto2">
    <w:name w:val="Body Text Indent 2"/>
    <w:basedOn w:val="Normal"/>
    <w:rsid w:val="000E493F"/>
    <w:pPr>
      <w:spacing w:after="120" w:line="480" w:lineRule="auto"/>
      <w:ind w:left="283"/>
    </w:pPr>
  </w:style>
  <w:style w:type="character" w:styleId="Hyperlink">
    <w:name w:val="Hyperlink"/>
    <w:rsid w:val="005342F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8091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E809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C234F"/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link w:val="Ttulo3"/>
    <w:rsid w:val="006339FF"/>
    <w:rPr>
      <w:rFonts w:ascii="Arial" w:hAnsi="Arial"/>
      <w:b/>
      <w:sz w:val="24"/>
      <w:u w:val="single"/>
    </w:rPr>
  </w:style>
  <w:style w:type="character" w:customStyle="1" w:styleId="Ttulo9Char">
    <w:name w:val="Título 9 Char"/>
    <w:basedOn w:val="Fontepargpadro"/>
    <w:link w:val="Ttulo9"/>
    <w:semiHidden/>
    <w:rsid w:val="000A7D3F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0A7D3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7D3F"/>
  </w:style>
  <w:style w:type="character" w:customStyle="1" w:styleId="CabealhoChar">
    <w:name w:val="Cabeçalho Char"/>
    <w:basedOn w:val="Fontepargpadro"/>
    <w:link w:val="Cabealho"/>
    <w:rsid w:val="00094436"/>
  </w:style>
  <w:style w:type="character" w:customStyle="1" w:styleId="Ttulo5Char">
    <w:name w:val="Título 5 Char"/>
    <w:basedOn w:val="Fontepargpadro"/>
    <w:link w:val="Ttulo5"/>
    <w:semiHidden/>
    <w:rsid w:val="002950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semiHidden/>
    <w:rsid w:val="002950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semiHidden/>
    <w:rsid w:val="002950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semiHidden/>
    <w:rsid w:val="00295061"/>
    <w:rPr>
      <w:rFonts w:asciiTheme="majorHAnsi" w:eastAsiaTheme="majorEastAsia" w:hAnsiTheme="majorHAnsi" w:cstheme="majorBidi"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468F"/>
    <w:pPr>
      <w:ind w:left="720"/>
      <w:contextualSpacing/>
    </w:pPr>
  </w:style>
  <w:style w:type="paragraph" w:customStyle="1" w:styleId="Default">
    <w:name w:val="Default"/>
    <w:rsid w:val="00976C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716B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Fontepargpadro"/>
    <w:rsid w:val="00716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comitealpa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3.jpeg"/><Relationship Id="rId4" Type="http://schemas.openxmlformats.org/officeDocument/2006/relationships/hyperlink" Target="mailto:comitealpa@cednet.com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ITES\CBH-AP\Of&#237;cio%20CBH%20%20AP%20001%20%209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F35B-B320-45D2-B8C8-E70D8BB7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CBH  AP 001  98</Template>
  <TotalTime>11</TotalTime>
  <Pages>7</Pages>
  <Words>1902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Marília,  28 de Maio de 1 997</vt:lpstr>
    </vt:vector>
  </TitlesOfParts>
  <Company/>
  <LinksUpToDate>false</LinksUpToDate>
  <CharactersWithSpaces>11996</CharactersWithSpaces>
  <SharedDoc>false</SharedDoc>
  <HLinks>
    <vt:vector size="6" baseType="variant">
      <vt:variant>
        <vt:i4>5898281</vt:i4>
      </vt:variant>
      <vt:variant>
        <vt:i4>3</vt:i4>
      </vt:variant>
      <vt:variant>
        <vt:i4>0</vt:i4>
      </vt:variant>
      <vt:variant>
        <vt:i4>5</vt:i4>
      </vt:variant>
      <vt:variant>
        <vt:lpwstr>mailto:comitealpa@cednet.com.br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Marília,  28 de Maio de 1 997</dc:title>
  <dc:creator>ABS</dc:creator>
  <cp:lastModifiedBy>Ana Carolina</cp:lastModifiedBy>
  <cp:revision>3</cp:revision>
  <cp:lastPrinted>2013-06-11T13:22:00Z</cp:lastPrinted>
  <dcterms:created xsi:type="dcterms:W3CDTF">2013-06-11T13:22:00Z</dcterms:created>
  <dcterms:modified xsi:type="dcterms:W3CDTF">2013-06-11T13:22:00Z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20415231</vt:i4>
  </property>
</Properties>
</file>